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06F0" w:rsidRPr="00FB7BC0" w:rsidRDefault="00466C7A">
      <w:pPr>
        <w:rPr>
          <w:b/>
          <w:bCs/>
          <w:sz w:val="20"/>
          <w:szCs w:val="20"/>
        </w:rPr>
      </w:pPr>
      <w:r>
        <w:rPr>
          <w:b/>
          <w:bCs/>
          <w:sz w:val="20"/>
          <w:szCs w:val="20"/>
        </w:rPr>
        <w:t>CITIBANK EUROPE PLC THROUGH CITIBANK EUROPE PLC., BULGARIA BRANCH</w:t>
      </w:r>
    </w:p>
    <w:p w:rsidR="004406F0" w:rsidRPr="007363DC" w:rsidRDefault="007363DC">
      <w:pPr>
        <w:rPr>
          <w:b/>
          <w:bCs/>
          <w:sz w:val="20"/>
          <w:szCs w:val="20"/>
        </w:rPr>
      </w:pPr>
      <w:r w:rsidRPr="007363DC">
        <w:rPr>
          <w:b/>
          <w:bCs/>
          <w:sz w:val="20"/>
          <w:szCs w:val="20"/>
        </w:rPr>
        <w:t>GENERAL INFORMATION ABOUT INVESTMENT SERVICES AND ACTIVITIES PROVIDED UNDER THE MARKETS IN FINANCIAL INSTRUMENTS ACT</w:t>
      </w:r>
    </w:p>
    <w:p w:rsidR="007363DC" w:rsidRDefault="007363DC" w:rsidP="006E6B8C">
      <w:pPr>
        <w:jc w:val="both"/>
        <w:rPr>
          <w:sz w:val="20"/>
          <w:szCs w:val="20"/>
        </w:rPr>
      </w:pPr>
    </w:p>
    <w:p w:rsidR="007363DC" w:rsidRPr="007363DC" w:rsidRDefault="007363DC" w:rsidP="006E6B8C">
      <w:pPr>
        <w:jc w:val="both"/>
        <w:rPr>
          <w:sz w:val="20"/>
          <w:szCs w:val="20"/>
        </w:rPr>
      </w:pPr>
      <w:r w:rsidRPr="007363DC">
        <w:rPr>
          <w:sz w:val="20"/>
          <w:szCs w:val="20"/>
        </w:rPr>
        <w:t>CITIBANK EUROPE PLC., having registry No. 132781 and registered address of management at 1 North Wall Key, Dublin 1, Ireland performs investment services and activity under the Markets in Financial Instruments Act (</w:t>
      </w:r>
      <w:proofErr w:type="spellStart"/>
      <w:r w:rsidRPr="007363DC">
        <w:rPr>
          <w:sz w:val="20"/>
          <w:szCs w:val="20"/>
        </w:rPr>
        <w:t>MiFIA</w:t>
      </w:r>
      <w:proofErr w:type="spellEnd"/>
      <w:r w:rsidRPr="007363DC">
        <w:rPr>
          <w:sz w:val="20"/>
          <w:szCs w:val="20"/>
        </w:rPr>
        <w:t xml:space="preserve">) through Citibank Europe plc, Bulgaria Branch, entered in the commercial registrar at the Registry agency under UIC 202861597, having its seat and registered address at, 48 </w:t>
      </w:r>
      <w:proofErr w:type="spellStart"/>
      <w:r w:rsidRPr="007363DC">
        <w:rPr>
          <w:sz w:val="20"/>
          <w:szCs w:val="20"/>
        </w:rPr>
        <w:t>Sitnyakovo</w:t>
      </w:r>
      <w:proofErr w:type="spellEnd"/>
      <w:r w:rsidRPr="007363DC">
        <w:rPr>
          <w:sz w:val="20"/>
          <w:szCs w:val="20"/>
        </w:rPr>
        <w:t xml:space="preserve"> </w:t>
      </w:r>
      <w:proofErr w:type="spellStart"/>
      <w:r w:rsidRPr="007363DC">
        <w:rPr>
          <w:sz w:val="20"/>
          <w:szCs w:val="20"/>
        </w:rPr>
        <w:t>blvd.</w:t>
      </w:r>
      <w:proofErr w:type="spellEnd"/>
      <w:r w:rsidRPr="007363DC">
        <w:rPr>
          <w:sz w:val="20"/>
          <w:szCs w:val="20"/>
        </w:rPr>
        <w:t xml:space="preserve">, Serdika Offices, 10th fl., </w:t>
      </w:r>
      <w:proofErr w:type="spellStart"/>
      <w:r w:rsidRPr="007363DC">
        <w:rPr>
          <w:sz w:val="20"/>
          <w:szCs w:val="20"/>
        </w:rPr>
        <w:t>Oborishte</w:t>
      </w:r>
      <w:proofErr w:type="spellEnd"/>
      <w:r w:rsidRPr="007363DC">
        <w:rPr>
          <w:sz w:val="20"/>
          <w:szCs w:val="20"/>
        </w:rPr>
        <w:t xml:space="preserve"> District, Sofia 1505 (the Bank). </w:t>
      </w:r>
    </w:p>
    <w:p w:rsidR="008A14BB" w:rsidRDefault="008A14BB" w:rsidP="008A14BB">
      <w:pPr>
        <w:jc w:val="both"/>
        <w:rPr>
          <w:sz w:val="20"/>
          <w:szCs w:val="20"/>
        </w:rPr>
      </w:pPr>
      <w:r w:rsidRPr="008A14BB">
        <w:rPr>
          <w:sz w:val="20"/>
          <w:szCs w:val="20"/>
        </w:rPr>
        <w:t xml:space="preserve">The Bank has a license to perform bank transactions in the country, including services and activities provided in Annex I to Directive 2004/39/EC (replaced by Annex I to Directive 2014/65/EU), through opening a branch in Republic of Bulgaria pursuant to a notification dated 04.10.2013 by the governor of department “Banking supervision – international banks” at the Central Bank of Ireland under art. 25 of Directive 2006/48/EC of the European parliament and the Council of 14 June 2006 relating to the taking up and pursuit of the business of credit institutions (recast) (replaced by Directive 2013/36/ЕU of the European Parliament and of the Council of 26 June 2013 on access to the activity of credit institutions and the prudential supervision of credit institutions and investment firms, amending Directive 2002/87/EC and repealing Directives 2006/48/EC and 2006/49/EC). Pursuant to art. 21, para. 2 of the Credit Institutions Act, BNB has submitted letter having No. 98-0141/ 29.11.2013 notifying Citibank Europe plc. that the Bank may effectively initiate its business in the country, subject to relevant registration with the Commercial registrar in the Republic of Bulgaria. </w:t>
      </w:r>
    </w:p>
    <w:p w:rsidR="008A14BB" w:rsidRPr="008A14BB" w:rsidRDefault="008A14BB" w:rsidP="008A14BB">
      <w:pPr>
        <w:autoSpaceDE w:val="0"/>
        <w:autoSpaceDN w:val="0"/>
        <w:adjustRightInd w:val="0"/>
        <w:spacing w:before="240" w:after="0" w:line="240" w:lineRule="auto"/>
        <w:jc w:val="both"/>
        <w:rPr>
          <w:rFonts w:eastAsia="Times New Roman" w:cstheme="minorHAnsi"/>
          <w:sz w:val="20"/>
          <w:szCs w:val="20"/>
        </w:rPr>
      </w:pPr>
      <w:r w:rsidRPr="008A14BB">
        <w:rPr>
          <w:rFonts w:eastAsia="Times New Roman" w:cstheme="minorHAnsi"/>
          <w:sz w:val="20"/>
          <w:szCs w:val="20"/>
        </w:rPr>
        <w:t>The Bank is authorized to conduct the following transactions at the territory of Bulgaria:</w:t>
      </w:r>
    </w:p>
    <w:p w:rsidR="008A14BB" w:rsidRPr="008A14BB" w:rsidRDefault="008A14BB" w:rsidP="008A14BB">
      <w:pPr>
        <w:numPr>
          <w:ilvl w:val="1"/>
          <w:numId w:val="4"/>
        </w:numPr>
        <w:autoSpaceDE w:val="0"/>
        <w:autoSpaceDN w:val="0"/>
        <w:adjustRightInd w:val="0"/>
        <w:spacing w:before="120" w:after="0" w:line="240" w:lineRule="auto"/>
        <w:ind w:left="1134" w:hanging="567"/>
        <w:jc w:val="both"/>
        <w:rPr>
          <w:rFonts w:eastAsia="Times New Roman" w:cstheme="minorHAnsi"/>
          <w:sz w:val="20"/>
          <w:szCs w:val="20"/>
        </w:rPr>
      </w:pPr>
      <w:r w:rsidRPr="008A14BB">
        <w:rPr>
          <w:rFonts w:eastAsia="Times New Roman" w:cstheme="minorHAnsi"/>
          <w:sz w:val="20"/>
          <w:szCs w:val="20"/>
        </w:rPr>
        <w:t xml:space="preserve">Receiving deposits or other repayable funds from the public as a loan, </w:t>
      </w:r>
      <w:proofErr w:type="gramStart"/>
      <w:r w:rsidRPr="008A14BB">
        <w:rPr>
          <w:rFonts w:eastAsia="Times New Roman" w:cstheme="minorHAnsi"/>
          <w:sz w:val="20"/>
          <w:szCs w:val="20"/>
        </w:rPr>
        <w:t>including:</w:t>
      </w:r>
      <w:proofErr w:type="gramEnd"/>
      <w:r w:rsidRPr="008A14BB">
        <w:rPr>
          <w:rFonts w:eastAsia="Times New Roman" w:cstheme="minorHAnsi"/>
          <w:sz w:val="20"/>
          <w:szCs w:val="20"/>
        </w:rPr>
        <w:t xml:space="preserve">  consumer loans, mortgage loans, factoring (with or without recourse); financing commercial transactions (including forfeiting);</w:t>
      </w:r>
    </w:p>
    <w:p w:rsidR="008A14BB" w:rsidRPr="008A14BB" w:rsidRDefault="008A14BB" w:rsidP="008A14BB">
      <w:pPr>
        <w:numPr>
          <w:ilvl w:val="1"/>
          <w:numId w:val="4"/>
        </w:numPr>
        <w:autoSpaceDE w:val="0"/>
        <w:autoSpaceDN w:val="0"/>
        <w:adjustRightInd w:val="0"/>
        <w:spacing w:before="120" w:after="0" w:line="240" w:lineRule="auto"/>
        <w:ind w:left="1134" w:hanging="567"/>
        <w:jc w:val="both"/>
        <w:rPr>
          <w:rFonts w:eastAsia="Times New Roman" w:cstheme="minorHAnsi"/>
          <w:sz w:val="20"/>
          <w:szCs w:val="20"/>
        </w:rPr>
      </w:pPr>
      <w:r w:rsidRPr="008A14BB">
        <w:rPr>
          <w:rFonts w:eastAsia="Times New Roman" w:cstheme="minorHAnsi"/>
          <w:sz w:val="20"/>
          <w:szCs w:val="20"/>
        </w:rPr>
        <w:t xml:space="preserve">Financial leasing; </w:t>
      </w:r>
    </w:p>
    <w:p w:rsidR="008A14BB" w:rsidRPr="008A14BB" w:rsidRDefault="008A14BB" w:rsidP="008A14BB">
      <w:pPr>
        <w:numPr>
          <w:ilvl w:val="1"/>
          <w:numId w:val="4"/>
        </w:numPr>
        <w:autoSpaceDE w:val="0"/>
        <w:autoSpaceDN w:val="0"/>
        <w:adjustRightInd w:val="0"/>
        <w:spacing w:before="120" w:after="0" w:line="240" w:lineRule="auto"/>
        <w:ind w:left="1134" w:hanging="567"/>
        <w:jc w:val="both"/>
        <w:rPr>
          <w:rFonts w:eastAsia="Times New Roman" w:cstheme="minorHAnsi"/>
          <w:sz w:val="20"/>
          <w:szCs w:val="20"/>
        </w:rPr>
      </w:pPr>
      <w:r w:rsidRPr="008A14BB">
        <w:rPr>
          <w:rFonts w:eastAsia="Times New Roman" w:cstheme="minorHAnsi"/>
          <w:sz w:val="20"/>
          <w:szCs w:val="20"/>
        </w:rPr>
        <w:t xml:space="preserve">Payment services as defined under art. 4, para. 3 of Directive 2007/64/EC of the European parliament and the Council dated 13 November 2007 on the payment services offered at the internal </w:t>
      </w:r>
      <w:proofErr w:type="gramStart"/>
      <w:r w:rsidRPr="008A14BB">
        <w:rPr>
          <w:rFonts w:eastAsia="Times New Roman" w:cstheme="minorHAnsi"/>
          <w:sz w:val="20"/>
          <w:szCs w:val="20"/>
        </w:rPr>
        <w:t>market;</w:t>
      </w:r>
      <w:proofErr w:type="gramEnd"/>
    </w:p>
    <w:p w:rsidR="008A14BB" w:rsidRPr="008A14BB" w:rsidRDefault="008A14BB" w:rsidP="008A14BB">
      <w:pPr>
        <w:numPr>
          <w:ilvl w:val="1"/>
          <w:numId w:val="4"/>
        </w:numPr>
        <w:autoSpaceDE w:val="0"/>
        <w:autoSpaceDN w:val="0"/>
        <w:adjustRightInd w:val="0"/>
        <w:spacing w:before="120" w:after="0" w:line="240" w:lineRule="auto"/>
        <w:ind w:left="1134" w:hanging="567"/>
        <w:jc w:val="both"/>
        <w:rPr>
          <w:rFonts w:eastAsia="Times New Roman" w:cstheme="minorHAnsi"/>
          <w:sz w:val="20"/>
          <w:szCs w:val="20"/>
        </w:rPr>
      </w:pPr>
      <w:r w:rsidRPr="008A14BB">
        <w:rPr>
          <w:rFonts w:eastAsia="Times New Roman" w:cstheme="minorHAnsi"/>
          <w:sz w:val="20"/>
          <w:szCs w:val="20"/>
        </w:rPr>
        <w:t>Issuance and administration of other means of payment (traveller’s cheques and bank cheques) in so far as these activities do not fall under the scope of item (iii</w:t>
      </w:r>
      <w:proofErr w:type="gramStart"/>
      <w:r w:rsidRPr="008A14BB">
        <w:rPr>
          <w:rFonts w:eastAsia="Times New Roman" w:cstheme="minorHAnsi"/>
          <w:sz w:val="20"/>
          <w:szCs w:val="20"/>
        </w:rPr>
        <w:t>);</w:t>
      </w:r>
      <w:proofErr w:type="gramEnd"/>
    </w:p>
    <w:p w:rsidR="008A14BB" w:rsidRPr="008A14BB" w:rsidRDefault="008A14BB" w:rsidP="008A14BB">
      <w:pPr>
        <w:numPr>
          <w:ilvl w:val="1"/>
          <w:numId w:val="4"/>
        </w:numPr>
        <w:autoSpaceDE w:val="0"/>
        <w:autoSpaceDN w:val="0"/>
        <w:adjustRightInd w:val="0"/>
        <w:spacing w:before="120" w:after="0" w:line="240" w:lineRule="auto"/>
        <w:ind w:left="1134" w:hanging="567"/>
        <w:jc w:val="both"/>
        <w:rPr>
          <w:rFonts w:eastAsia="Times New Roman" w:cstheme="minorHAnsi"/>
          <w:sz w:val="20"/>
          <w:szCs w:val="20"/>
        </w:rPr>
      </w:pPr>
      <w:r w:rsidRPr="008A14BB">
        <w:rPr>
          <w:rFonts w:eastAsia="Times New Roman" w:cstheme="minorHAnsi"/>
          <w:sz w:val="20"/>
          <w:szCs w:val="20"/>
        </w:rPr>
        <w:t xml:space="preserve">Provision of bank guarantees and letters of </w:t>
      </w:r>
      <w:proofErr w:type="gramStart"/>
      <w:r w:rsidRPr="008A14BB">
        <w:rPr>
          <w:rFonts w:eastAsia="Times New Roman" w:cstheme="minorHAnsi"/>
          <w:sz w:val="20"/>
          <w:szCs w:val="20"/>
        </w:rPr>
        <w:t>credit;</w:t>
      </w:r>
      <w:proofErr w:type="gramEnd"/>
    </w:p>
    <w:p w:rsidR="008A14BB" w:rsidRPr="008A14BB" w:rsidRDefault="008A14BB" w:rsidP="008A14BB">
      <w:pPr>
        <w:numPr>
          <w:ilvl w:val="1"/>
          <w:numId w:val="4"/>
        </w:numPr>
        <w:autoSpaceDE w:val="0"/>
        <w:autoSpaceDN w:val="0"/>
        <w:adjustRightInd w:val="0"/>
        <w:spacing w:before="120" w:after="0" w:line="240" w:lineRule="auto"/>
        <w:ind w:left="1134" w:hanging="567"/>
        <w:jc w:val="both"/>
        <w:rPr>
          <w:rFonts w:eastAsia="Times New Roman" w:cstheme="minorHAnsi"/>
          <w:sz w:val="20"/>
          <w:szCs w:val="20"/>
        </w:rPr>
      </w:pPr>
      <w:r w:rsidRPr="008A14BB">
        <w:rPr>
          <w:rFonts w:eastAsia="Times New Roman" w:cstheme="minorHAnsi"/>
          <w:sz w:val="20"/>
          <w:szCs w:val="20"/>
        </w:rPr>
        <w:t xml:space="preserve">Trading for its own account and for clients’ account in (a) money market instruments; (b) foreign exchange; (c) futures and options; (d) currency and interest instruments; (e) transferable </w:t>
      </w:r>
      <w:proofErr w:type="gramStart"/>
      <w:r w:rsidRPr="008A14BB">
        <w:rPr>
          <w:rFonts w:eastAsia="Times New Roman" w:cstheme="minorHAnsi"/>
          <w:sz w:val="20"/>
          <w:szCs w:val="20"/>
        </w:rPr>
        <w:t>securities;</w:t>
      </w:r>
      <w:proofErr w:type="gramEnd"/>
    </w:p>
    <w:p w:rsidR="008A14BB" w:rsidRPr="008A14BB" w:rsidRDefault="008A14BB" w:rsidP="008A14BB">
      <w:pPr>
        <w:numPr>
          <w:ilvl w:val="1"/>
          <w:numId w:val="4"/>
        </w:numPr>
        <w:autoSpaceDE w:val="0"/>
        <w:autoSpaceDN w:val="0"/>
        <w:adjustRightInd w:val="0"/>
        <w:spacing w:before="120" w:after="0" w:line="240" w:lineRule="auto"/>
        <w:ind w:left="1134" w:hanging="567"/>
        <w:jc w:val="both"/>
        <w:rPr>
          <w:rFonts w:eastAsia="Times New Roman" w:cstheme="minorHAnsi"/>
          <w:sz w:val="20"/>
          <w:szCs w:val="20"/>
        </w:rPr>
      </w:pPr>
      <w:r w:rsidRPr="008A14BB">
        <w:rPr>
          <w:rFonts w:eastAsia="Times New Roman" w:cstheme="minorHAnsi"/>
          <w:sz w:val="20"/>
          <w:szCs w:val="20"/>
        </w:rPr>
        <w:t xml:space="preserve">Safekeeping and administration of </w:t>
      </w:r>
      <w:proofErr w:type="gramStart"/>
      <w:r w:rsidRPr="008A14BB">
        <w:rPr>
          <w:rFonts w:eastAsia="Times New Roman" w:cstheme="minorHAnsi"/>
          <w:sz w:val="20"/>
          <w:szCs w:val="20"/>
        </w:rPr>
        <w:t>securities;</w:t>
      </w:r>
      <w:proofErr w:type="gramEnd"/>
    </w:p>
    <w:p w:rsidR="008A14BB" w:rsidRPr="008A14BB" w:rsidRDefault="008A14BB" w:rsidP="008A14BB">
      <w:pPr>
        <w:numPr>
          <w:ilvl w:val="1"/>
          <w:numId w:val="4"/>
        </w:numPr>
        <w:autoSpaceDE w:val="0"/>
        <w:autoSpaceDN w:val="0"/>
        <w:adjustRightInd w:val="0"/>
        <w:spacing w:before="120" w:after="0" w:line="240" w:lineRule="auto"/>
        <w:ind w:left="1134" w:hanging="567"/>
        <w:jc w:val="both"/>
        <w:rPr>
          <w:rFonts w:eastAsia="Times New Roman" w:cstheme="minorHAnsi"/>
          <w:sz w:val="20"/>
          <w:szCs w:val="20"/>
        </w:rPr>
      </w:pPr>
      <w:r w:rsidRPr="008A14BB">
        <w:rPr>
          <w:rFonts w:eastAsia="Times New Roman" w:cstheme="minorHAnsi"/>
          <w:sz w:val="20"/>
          <w:szCs w:val="20"/>
        </w:rPr>
        <w:t>Custodianship services.</w:t>
      </w:r>
    </w:p>
    <w:p w:rsidR="008A14BB" w:rsidRDefault="008A14BB" w:rsidP="00FB7BC0">
      <w:pPr>
        <w:jc w:val="both"/>
        <w:rPr>
          <w:sz w:val="20"/>
          <w:szCs w:val="20"/>
        </w:rPr>
      </w:pPr>
    </w:p>
    <w:p w:rsidR="008A14BB" w:rsidRPr="008A14BB" w:rsidRDefault="008A14BB" w:rsidP="008A14BB">
      <w:pPr>
        <w:autoSpaceDE w:val="0"/>
        <w:autoSpaceDN w:val="0"/>
        <w:adjustRightInd w:val="0"/>
        <w:spacing w:before="240" w:after="0" w:line="240" w:lineRule="auto"/>
        <w:jc w:val="both"/>
        <w:rPr>
          <w:rFonts w:eastAsia="Times New Roman" w:cstheme="minorHAnsi"/>
          <w:sz w:val="20"/>
          <w:szCs w:val="20"/>
        </w:rPr>
      </w:pPr>
      <w:r w:rsidRPr="00880359">
        <w:rPr>
          <w:rFonts w:eastAsia="Times New Roman" w:cstheme="minorHAnsi"/>
          <w:sz w:val="20"/>
          <w:szCs w:val="20"/>
        </w:rPr>
        <w:t xml:space="preserve">The </w:t>
      </w:r>
      <w:r w:rsidRPr="008A14BB">
        <w:rPr>
          <w:rFonts w:eastAsia="Times New Roman" w:cstheme="minorHAnsi"/>
          <w:sz w:val="20"/>
          <w:szCs w:val="20"/>
        </w:rPr>
        <w:t>Bank may provide below investment services and activities and the additional services, as follows:</w:t>
      </w:r>
    </w:p>
    <w:p w:rsidR="008A14BB" w:rsidRPr="008A14BB" w:rsidRDefault="008A14BB" w:rsidP="008A14BB">
      <w:pPr>
        <w:numPr>
          <w:ilvl w:val="0"/>
          <w:numId w:val="10"/>
        </w:numPr>
        <w:tabs>
          <w:tab w:val="clear" w:pos="1800"/>
        </w:tabs>
        <w:autoSpaceDE w:val="0"/>
        <w:autoSpaceDN w:val="0"/>
        <w:adjustRightInd w:val="0"/>
        <w:spacing w:before="120" w:after="0" w:line="240" w:lineRule="auto"/>
        <w:ind w:left="1134" w:hanging="567"/>
        <w:jc w:val="both"/>
        <w:rPr>
          <w:rFonts w:eastAsia="Times New Roman" w:cstheme="minorHAnsi"/>
          <w:sz w:val="20"/>
          <w:szCs w:val="20"/>
        </w:rPr>
      </w:pPr>
      <w:r w:rsidRPr="008A14BB">
        <w:rPr>
          <w:rFonts w:eastAsia="Times New Roman" w:cstheme="minorHAnsi"/>
          <w:sz w:val="20"/>
          <w:szCs w:val="20"/>
        </w:rPr>
        <w:t>reception and delivery of orders in relation to one or more of the following:</w:t>
      </w:r>
    </w:p>
    <w:p w:rsidR="008A14BB" w:rsidRPr="008A14BB" w:rsidRDefault="008A14BB" w:rsidP="008A14BB">
      <w:pPr>
        <w:numPr>
          <w:ilvl w:val="0"/>
          <w:numId w:val="5"/>
        </w:numPr>
        <w:tabs>
          <w:tab w:val="left" w:pos="1701"/>
        </w:tabs>
        <w:autoSpaceDE w:val="0"/>
        <w:autoSpaceDN w:val="0"/>
        <w:adjustRightInd w:val="0"/>
        <w:spacing w:before="120" w:after="0" w:line="240" w:lineRule="auto"/>
        <w:ind w:left="1701" w:hanging="567"/>
        <w:jc w:val="both"/>
        <w:rPr>
          <w:rFonts w:eastAsia="Times New Roman" w:cstheme="minorHAnsi"/>
          <w:sz w:val="20"/>
          <w:szCs w:val="20"/>
        </w:rPr>
      </w:pPr>
      <w:r w:rsidRPr="008A14BB">
        <w:rPr>
          <w:rFonts w:eastAsia="Times New Roman" w:cstheme="minorHAnsi"/>
          <w:sz w:val="20"/>
          <w:szCs w:val="20"/>
        </w:rPr>
        <w:t xml:space="preserve">Transferable </w:t>
      </w:r>
      <w:proofErr w:type="gramStart"/>
      <w:r w:rsidRPr="008A14BB">
        <w:rPr>
          <w:rFonts w:eastAsia="Times New Roman" w:cstheme="minorHAnsi"/>
          <w:sz w:val="20"/>
          <w:szCs w:val="20"/>
        </w:rPr>
        <w:t>securities;</w:t>
      </w:r>
      <w:proofErr w:type="gramEnd"/>
    </w:p>
    <w:p w:rsidR="008A14BB" w:rsidRPr="008A14BB" w:rsidRDefault="008A14BB" w:rsidP="008A14BB">
      <w:pPr>
        <w:numPr>
          <w:ilvl w:val="0"/>
          <w:numId w:val="5"/>
        </w:numPr>
        <w:tabs>
          <w:tab w:val="left" w:pos="1701"/>
        </w:tabs>
        <w:autoSpaceDE w:val="0"/>
        <w:autoSpaceDN w:val="0"/>
        <w:adjustRightInd w:val="0"/>
        <w:spacing w:before="120" w:after="0" w:line="240" w:lineRule="auto"/>
        <w:ind w:left="1701" w:hanging="567"/>
        <w:jc w:val="both"/>
        <w:rPr>
          <w:rFonts w:eastAsia="Times New Roman" w:cstheme="minorHAnsi"/>
          <w:sz w:val="20"/>
          <w:szCs w:val="20"/>
        </w:rPr>
      </w:pPr>
      <w:r w:rsidRPr="008A14BB">
        <w:rPr>
          <w:rFonts w:eastAsia="Times New Roman" w:cstheme="minorHAnsi"/>
          <w:sz w:val="20"/>
          <w:szCs w:val="20"/>
        </w:rPr>
        <w:t xml:space="preserve">Money market </w:t>
      </w:r>
      <w:proofErr w:type="gramStart"/>
      <w:r w:rsidRPr="008A14BB">
        <w:rPr>
          <w:rFonts w:eastAsia="Times New Roman" w:cstheme="minorHAnsi"/>
          <w:sz w:val="20"/>
          <w:szCs w:val="20"/>
        </w:rPr>
        <w:t>instruments;</w:t>
      </w:r>
      <w:proofErr w:type="gramEnd"/>
    </w:p>
    <w:p w:rsidR="008A14BB" w:rsidRPr="008A14BB" w:rsidRDefault="008A14BB" w:rsidP="008A14BB">
      <w:pPr>
        <w:numPr>
          <w:ilvl w:val="0"/>
          <w:numId w:val="5"/>
        </w:numPr>
        <w:tabs>
          <w:tab w:val="left" w:pos="1701"/>
        </w:tabs>
        <w:autoSpaceDE w:val="0"/>
        <w:autoSpaceDN w:val="0"/>
        <w:adjustRightInd w:val="0"/>
        <w:spacing w:before="120" w:after="0" w:line="240" w:lineRule="auto"/>
        <w:ind w:left="1701" w:hanging="567"/>
        <w:jc w:val="both"/>
        <w:rPr>
          <w:rFonts w:eastAsia="Times New Roman" w:cstheme="minorHAnsi"/>
          <w:sz w:val="20"/>
          <w:szCs w:val="20"/>
        </w:rPr>
      </w:pPr>
      <w:r w:rsidRPr="008A14BB">
        <w:rPr>
          <w:rFonts w:eastAsia="Times New Roman" w:cstheme="minorHAnsi"/>
          <w:sz w:val="20"/>
          <w:szCs w:val="20"/>
        </w:rPr>
        <w:t>Options, futures, swaps, forward agreements and any other derivative contracts related to securities, currencies, interest rates or return, other derivative instruments, financial indices or financial indicators, whereunder the obligations may be settled physically or in cash.</w:t>
      </w:r>
    </w:p>
    <w:p w:rsidR="008A14BB" w:rsidRPr="008A14BB" w:rsidRDefault="008A14BB" w:rsidP="008A14BB">
      <w:pPr>
        <w:numPr>
          <w:ilvl w:val="0"/>
          <w:numId w:val="10"/>
        </w:numPr>
        <w:autoSpaceDE w:val="0"/>
        <w:autoSpaceDN w:val="0"/>
        <w:adjustRightInd w:val="0"/>
        <w:spacing w:before="120" w:after="0" w:line="240" w:lineRule="auto"/>
        <w:jc w:val="both"/>
        <w:rPr>
          <w:rFonts w:eastAsia="Times New Roman" w:cstheme="minorHAnsi"/>
          <w:sz w:val="20"/>
          <w:szCs w:val="20"/>
        </w:rPr>
      </w:pPr>
      <w:r w:rsidRPr="008A14BB">
        <w:rPr>
          <w:rFonts w:eastAsia="Times New Roman" w:cstheme="minorHAnsi"/>
          <w:sz w:val="20"/>
          <w:szCs w:val="20"/>
        </w:rPr>
        <w:t>execution of payment orders at for clients’ account in relation to one or more of the following financial instruments:</w:t>
      </w:r>
    </w:p>
    <w:p w:rsidR="008A14BB" w:rsidRPr="008A14BB" w:rsidRDefault="008A14BB" w:rsidP="008A14BB">
      <w:pPr>
        <w:numPr>
          <w:ilvl w:val="0"/>
          <w:numId w:val="6"/>
        </w:numPr>
        <w:tabs>
          <w:tab w:val="left" w:pos="1701"/>
        </w:tabs>
        <w:autoSpaceDE w:val="0"/>
        <w:autoSpaceDN w:val="0"/>
        <w:adjustRightInd w:val="0"/>
        <w:spacing w:before="120" w:after="0" w:line="240" w:lineRule="auto"/>
        <w:ind w:left="1701" w:hanging="567"/>
        <w:jc w:val="both"/>
        <w:rPr>
          <w:rFonts w:eastAsia="Times New Roman" w:cstheme="minorHAnsi"/>
          <w:sz w:val="20"/>
          <w:szCs w:val="20"/>
        </w:rPr>
      </w:pPr>
      <w:r w:rsidRPr="008A14BB">
        <w:rPr>
          <w:rFonts w:eastAsia="Times New Roman" w:cstheme="minorHAnsi"/>
          <w:sz w:val="20"/>
          <w:szCs w:val="20"/>
        </w:rPr>
        <w:t xml:space="preserve">Transferable </w:t>
      </w:r>
      <w:proofErr w:type="gramStart"/>
      <w:r w:rsidRPr="008A14BB">
        <w:rPr>
          <w:rFonts w:eastAsia="Times New Roman" w:cstheme="minorHAnsi"/>
          <w:sz w:val="20"/>
          <w:szCs w:val="20"/>
        </w:rPr>
        <w:t>securities;</w:t>
      </w:r>
      <w:proofErr w:type="gramEnd"/>
    </w:p>
    <w:p w:rsidR="008A14BB" w:rsidRPr="008A14BB" w:rsidRDefault="008A14BB" w:rsidP="008A14BB">
      <w:pPr>
        <w:numPr>
          <w:ilvl w:val="0"/>
          <w:numId w:val="6"/>
        </w:numPr>
        <w:tabs>
          <w:tab w:val="left" w:pos="1701"/>
        </w:tabs>
        <w:autoSpaceDE w:val="0"/>
        <w:autoSpaceDN w:val="0"/>
        <w:adjustRightInd w:val="0"/>
        <w:spacing w:before="120" w:after="0" w:line="240" w:lineRule="auto"/>
        <w:ind w:left="1701" w:hanging="567"/>
        <w:jc w:val="both"/>
        <w:rPr>
          <w:rFonts w:eastAsia="Times New Roman" w:cstheme="minorHAnsi"/>
          <w:sz w:val="20"/>
          <w:szCs w:val="20"/>
        </w:rPr>
      </w:pPr>
      <w:r w:rsidRPr="008A14BB">
        <w:rPr>
          <w:rFonts w:eastAsia="Times New Roman" w:cstheme="minorHAnsi"/>
          <w:sz w:val="20"/>
          <w:szCs w:val="20"/>
        </w:rPr>
        <w:t xml:space="preserve">Money market </w:t>
      </w:r>
      <w:proofErr w:type="gramStart"/>
      <w:r w:rsidRPr="008A14BB">
        <w:rPr>
          <w:rFonts w:eastAsia="Times New Roman" w:cstheme="minorHAnsi"/>
          <w:sz w:val="20"/>
          <w:szCs w:val="20"/>
        </w:rPr>
        <w:t>instruments;</w:t>
      </w:r>
      <w:proofErr w:type="gramEnd"/>
    </w:p>
    <w:p w:rsidR="008A14BB" w:rsidRPr="008A14BB" w:rsidRDefault="008A14BB" w:rsidP="008A14BB">
      <w:pPr>
        <w:numPr>
          <w:ilvl w:val="0"/>
          <w:numId w:val="6"/>
        </w:numPr>
        <w:tabs>
          <w:tab w:val="left" w:pos="1701"/>
        </w:tabs>
        <w:autoSpaceDE w:val="0"/>
        <w:autoSpaceDN w:val="0"/>
        <w:adjustRightInd w:val="0"/>
        <w:spacing w:before="120" w:after="0" w:line="240" w:lineRule="auto"/>
        <w:ind w:left="1701" w:hanging="567"/>
        <w:jc w:val="both"/>
        <w:rPr>
          <w:rFonts w:eastAsia="Times New Roman" w:cstheme="minorHAnsi"/>
          <w:sz w:val="20"/>
          <w:szCs w:val="20"/>
        </w:rPr>
      </w:pPr>
      <w:r w:rsidRPr="008A14BB">
        <w:rPr>
          <w:rFonts w:eastAsia="Times New Roman" w:cstheme="minorHAnsi"/>
          <w:sz w:val="20"/>
          <w:szCs w:val="20"/>
        </w:rPr>
        <w:t>Options, futures, swaps, forward agreements and any other derivative contracts related to securities, currencies, interest rates or return, other derivative instruments, financial indices or financial indicators, whereunder the obligations may be settled physically or in cash.</w:t>
      </w:r>
    </w:p>
    <w:p w:rsidR="008A14BB" w:rsidRPr="008A14BB" w:rsidRDefault="008A14BB" w:rsidP="008A14BB">
      <w:pPr>
        <w:numPr>
          <w:ilvl w:val="0"/>
          <w:numId w:val="10"/>
        </w:numPr>
        <w:autoSpaceDE w:val="0"/>
        <w:autoSpaceDN w:val="0"/>
        <w:adjustRightInd w:val="0"/>
        <w:spacing w:before="120" w:after="0" w:line="240" w:lineRule="auto"/>
        <w:jc w:val="both"/>
        <w:rPr>
          <w:rFonts w:eastAsia="Times New Roman" w:cstheme="minorHAnsi"/>
          <w:sz w:val="20"/>
          <w:szCs w:val="20"/>
        </w:rPr>
      </w:pPr>
      <w:r w:rsidRPr="008A14BB">
        <w:rPr>
          <w:rFonts w:eastAsia="Times New Roman" w:cstheme="minorHAnsi"/>
          <w:sz w:val="20"/>
          <w:szCs w:val="20"/>
        </w:rPr>
        <w:t xml:space="preserve">dealing on own account in relation to one or more of the following financial </w:t>
      </w:r>
      <w:proofErr w:type="gramStart"/>
      <w:r w:rsidRPr="008A14BB">
        <w:rPr>
          <w:rFonts w:eastAsia="Times New Roman" w:cstheme="minorHAnsi"/>
          <w:sz w:val="20"/>
          <w:szCs w:val="20"/>
        </w:rPr>
        <w:t>instruments;</w:t>
      </w:r>
      <w:proofErr w:type="gramEnd"/>
    </w:p>
    <w:p w:rsidR="008A14BB" w:rsidRPr="008A14BB" w:rsidRDefault="008A14BB" w:rsidP="008A14BB">
      <w:pPr>
        <w:numPr>
          <w:ilvl w:val="0"/>
          <w:numId w:val="7"/>
        </w:numPr>
        <w:tabs>
          <w:tab w:val="left" w:pos="1701"/>
        </w:tabs>
        <w:autoSpaceDE w:val="0"/>
        <w:autoSpaceDN w:val="0"/>
        <w:adjustRightInd w:val="0"/>
        <w:spacing w:before="120" w:after="0" w:line="240" w:lineRule="auto"/>
        <w:ind w:left="1701" w:hanging="567"/>
        <w:jc w:val="both"/>
        <w:rPr>
          <w:rFonts w:eastAsia="Times New Roman" w:cstheme="minorHAnsi"/>
          <w:sz w:val="20"/>
          <w:szCs w:val="20"/>
        </w:rPr>
      </w:pPr>
      <w:r w:rsidRPr="008A14BB">
        <w:rPr>
          <w:rFonts w:eastAsia="Times New Roman" w:cstheme="minorHAnsi"/>
          <w:sz w:val="20"/>
          <w:szCs w:val="20"/>
        </w:rPr>
        <w:t xml:space="preserve">Transferable </w:t>
      </w:r>
      <w:proofErr w:type="gramStart"/>
      <w:r w:rsidRPr="008A14BB">
        <w:rPr>
          <w:rFonts w:eastAsia="Times New Roman" w:cstheme="minorHAnsi"/>
          <w:sz w:val="20"/>
          <w:szCs w:val="20"/>
        </w:rPr>
        <w:t>securities;</w:t>
      </w:r>
      <w:proofErr w:type="gramEnd"/>
    </w:p>
    <w:p w:rsidR="008A14BB" w:rsidRPr="008A14BB" w:rsidRDefault="008A14BB" w:rsidP="008A14BB">
      <w:pPr>
        <w:numPr>
          <w:ilvl w:val="0"/>
          <w:numId w:val="7"/>
        </w:numPr>
        <w:tabs>
          <w:tab w:val="left" w:pos="1701"/>
        </w:tabs>
        <w:autoSpaceDE w:val="0"/>
        <w:autoSpaceDN w:val="0"/>
        <w:adjustRightInd w:val="0"/>
        <w:spacing w:before="120" w:after="0" w:line="240" w:lineRule="auto"/>
        <w:ind w:left="1701" w:hanging="567"/>
        <w:jc w:val="both"/>
        <w:rPr>
          <w:rFonts w:eastAsia="Times New Roman" w:cstheme="minorHAnsi"/>
          <w:sz w:val="20"/>
          <w:szCs w:val="20"/>
        </w:rPr>
      </w:pPr>
      <w:r w:rsidRPr="008A14BB">
        <w:rPr>
          <w:rFonts w:eastAsia="Times New Roman" w:cstheme="minorHAnsi"/>
          <w:sz w:val="20"/>
          <w:szCs w:val="20"/>
        </w:rPr>
        <w:t xml:space="preserve">Money market </w:t>
      </w:r>
      <w:proofErr w:type="gramStart"/>
      <w:r w:rsidRPr="008A14BB">
        <w:rPr>
          <w:rFonts w:eastAsia="Times New Roman" w:cstheme="minorHAnsi"/>
          <w:sz w:val="20"/>
          <w:szCs w:val="20"/>
        </w:rPr>
        <w:t>instruments;</w:t>
      </w:r>
      <w:proofErr w:type="gramEnd"/>
    </w:p>
    <w:p w:rsidR="008A14BB" w:rsidRPr="008A14BB" w:rsidRDefault="008A14BB" w:rsidP="008A14BB">
      <w:pPr>
        <w:numPr>
          <w:ilvl w:val="0"/>
          <w:numId w:val="7"/>
        </w:numPr>
        <w:tabs>
          <w:tab w:val="left" w:pos="1701"/>
        </w:tabs>
        <w:autoSpaceDE w:val="0"/>
        <w:autoSpaceDN w:val="0"/>
        <w:adjustRightInd w:val="0"/>
        <w:spacing w:before="120" w:after="0" w:line="240" w:lineRule="auto"/>
        <w:ind w:left="1701" w:hanging="567"/>
        <w:jc w:val="both"/>
        <w:rPr>
          <w:rFonts w:eastAsia="Times New Roman" w:cstheme="minorHAnsi"/>
          <w:sz w:val="20"/>
          <w:szCs w:val="20"/>
        </w:rPr>
      </w:pPr>
      <w:r w:rsidRPr="008A14BB">
        <w:rPr>
          <w:rFonts w:eastAsia="Times New Roman" w:cstheme="minorHAnsi"/>
          <w:sz w:val="20"/>
          <w:szCs w:val="20"/>
        </w:rPr>
        <w:t>Options, futures, swaps, forward agreements and any other derivative contracts related to securities, currencies, interest rates or return, other derivative instruments, financial indices or financial indicators, whereunder the obligations may be settled physically or in cash.</w:t>
      </w:r>
    </w:p>
    <w:p w:rsidR="008A14BB" w:rsidRPr="008A14BB" w:rsidRDefault="008A14BB" w:rsidP="008A14BB">
      <w:pPr>
        <w:numPr>
          <w:ilvl w:val="0"/>
          <w:numId w:val="10"/>
        </w:numPr>
        <w:autoSpaceDE w:val="0"/>
        <w:autoSpaceDN w:val="0"/>
        <w:adjustRightInd w:val="0"/>
        <w:spacing w:before="120" w:after="0" w:line="240" w:lineRule="auto"/>
        <w:jc w:val="both"/>
        <w:rPr>
          <w:rFonts w:eastAsia="Times New Roman" w:cstheme="minorHAnsi"/>
          <w:sz w:val="20"/>
          <w:szCs w:val="20"/>
        </w:rPr>
      </w:pPr>
      <w:r w:rsidRPr="008A14BB">
        <w:rPr>
          <w:rFonts w:eastAsia="Times New Roman" w:cstheme="minorHAnsi"/>
          <w:sz w:val="20"/>
          <w:szCs w:val="20"/>
        </w:rPr>
        <w:t xml:space="preserve">management of transferable securities </w:t>
      </w:r>
      <w:proofErr w:type="gramStart"/>
      <w:r w:rsidRPr="008A14BB">
        <w:rPr>
          <w:rFonts w:eastAsia="Times New Roman" w:cstheme="minorHAnsi"/>
          <w:sz w:val="20"/>
          <w:szCs w:val="20"/>
        </w:rPr>
        <w:t>portfolio;</w:t>
      </w:r>
      <w:proofErr w:type="gramEnd"/>
      <w:r w:rsidRPr="008A14BB">
        <w:rPr>
          <w:rFonts w:eastAsia="Times New Roman" w:cstheme="minorHAnsi"/>
          <w:sz w:val="20"/>
          <w:szCs w:val="20"/>
        </w:rPr>
        <w:t xml:space="preserve"> </w:t>
      </w:r>
    </w:p>
    <w:p w:rsidR="008A14BB" w:rsidRPr="008A14BB" w:rsidRDefault="008A14BB" w:rsidP="008A14BB">
      <w:pPr>
        <w:numPr>
          <w:ilvl w:val="0"/>
          <w:numId w:val="10"/>
        </w:numPr>
        <w:autoSpaceDE w:val="0"/>
        <w:autoSpaceDN w:val="0"/>
        <w:adjustRightInd w:val="0"/>
        <w:spacing w:before="120" w:after="0" w:line="240" w:lineRule="auto"/>
        <w:jc w:val="both"/>
        <w:rPr>
          <w:rFonts w:eastAsia="Times New Roman" w:cstheme="minorHAnsi"/>
          <w:sz w:val="20"/>
          <w:szCs w:val="20"/>
        </w:rPr>
      </w:pPr>
      <w:r w:rsidRPr="008A14BB">
        <w:rPr>
          <w:rFonts w:eastAsia="Times New Roman" w:cstheme="minorHAnsi"/>
          <w:sz w:val="20"/>
          <w:szCs w:val="20"/>
        </w:rPr>
        <w:t xml:space="preserve">safekeeping and administration of following financial </w:t>
      </w:r>
      <w:proofErr w:type="gramStart"/>
      <w:r w:rsidRPr="008A14BB">
        <w:rPr>
          <w:rFonts w:eastAsia="Times New Roman" w:cstheme="minorHAnsi"/>
          <w:sz w:val="20"/>
          <w:szCs w:val="20"/>
        </w:rPr>
        <w:t>instruments;</w:t>
      </w:r>
      <w:proofErr w:type="gramEnd"/>
      <w:r w:rsidRPr="008A14BB">
        <w:rPr>
          <w:rFonts w:eastAsia="Times New Roman" w:cstheme="minorHAnsi"/>
          <w:sz w:val="20"/>
          <w:szCs w:val="20"/>
        </w:rPr>
        <w:t xml:space="preserve"> </w:t>
      </w:r>
    </w:p>
    <w:p w:rsidR="008A14BB" w:rsidRPr="008A14BB" w:rsidRDefault="008A14BB" w:rsidP="008A14BB">
      <w:pPr>
        <w:numPr>
          <w:ilvl w:val="0"/>
          <w:numId w:val="8"/>
        </w:numPr>
        <w:tabs>
          <w:tab w:val="left" w:pos="1701"/>
        </w:tabs>
        <w:autoSpaceDE w:val="0"/>
        <w:autoSpaceDN w:val="0"/>
        <w:adjustRightInd w:val="0"/>
        <w:spacing w:before="120" w:after="0" w:line="240" w:lineRule="auto"/>
        <w:ind w:left="1701" w:hanging="567"/>
        <w:jc w:val="both"/>
        <w:rPr>
          <w:rFonts w:eastAsia="Times New Roman" w:cstheme="minorHAnsi"/>
          <w:sz w:val="20"/>
          <w:szCs w:val="20"/>
        </w:rPr>
      </w:pPr>
      <w:r w:rsidRPr="008A14BB">
        <w:rPr>
          <w:rFonts w:eastAsia="Times New Roman" w:cstheme="minorHAnsi"/>
          <w:sz w:val="20"/>
          <w:szCs w:val="20"/>
        </w:rPr>
        <w:t>Transferable securities and/or</w:t>
      </w:r>
    </w:p>
    <w:p w:rsidR="008A14BB" w:rsidRPr="008A14BB" w:rsidRDefault="008A14BB" w:rsidP="008A14BB">
      <w:pPr>
        <w:numPr>
          <w:ilvl w:val="0"/>
          <w:numId w:val="8"/>
        </w:numPr>
        <w:tabs>
          <w:tab w:val="left" w:pos="1701"/>
        </w:tabs>
        <w:autoSpaceDE w:val="0"/>
        <w:autoSpaceDN w:val="0"/>
        <w:adjustRightInd w:val="0"/>
        <w:spacing w:before="120" w:after="0" w:line="240" w:lineRule="auto"/>
        <w:ind w:left="1701" w:hanging="567"/>
        <w:jc w:val="both"/>
        <w:rPr>
          <w:rFonts w:eastAsia="Times New Roman" w:cstheme="minorHAnsi"/>
          <w:sz w:val="20"/>
          <w:szCs w:val="20"/>
        </w:rPr>
      </w:pPr>
      <w:r w:rsidRPr="008A14BB">
        <w:rPr>
          <w:rFonts w:eastAsia="Times New Roman" w:cstheme="minorHAnsi"/>
          <w:sz w:val="20"/>
          <w:szCs w:val="20"/>
        </w:rPr>
        <w:t>Money market instruments and/or</w:t>
      </w:r>
    </w:p>
    <w:p w:rsidR="008A14BB" w:rsidRPr="008A14BB" w:rsidRDefault="008A14BB" w:rsidP="008A14BB">
      <w:pPr>
        <w:numPr>
          <w:ilvl w:val="0"/>
          <w:numId w:val="8"/>
        </w:numPr>
        <w:tabs>
          <w:tab w:val="left" w:pos="1701"/>
        </w:tabs>
        <w:autoSpaceDE w:val="0"/>
        <w:autoSpaceDN w:val="0"/>
        <w:adjustRightInd w:val="0"/>
        <w:spacing w:before="120" w:after="0" w:line="240" w:lineRule="auto"/>
        <w:ind w:left="1701" w:hanging="567"/>
        <w:jc w:val="both"/>
        <w:rPr>
          <w:rFonts w:eastAsia="Times New Roman" w:cstheme="minorHAnsi"/>
          <w:sz w:val="20"/>
          <w:szCs w:val="20"/>
        </w:rPr>
      </w:pPr>
      <w:r w:rsidRPr="008A14BB">
        <w:rPr>
          <w:rFonts w:eastAsia="Times New Roman" w:cstheme="minorHAnsi"/>
          <w:sz w:val="20"/>
          <w:szCs w:val="20"/>
        </w:rPr>
        <w:t>Shares in collective investment enterprises and or</w:t>
      </w:r>
    </w:p>
    <w:p w:rsidR="008A14BB" w:rsidRPr="008A14BB" w:rsidRDefault="008A14BB" w:rsidP="008A14BB">
      <w:pPr>
        <w:numPr>
          <w:ilvl w:val="0"/>
          <w:numId w:val="8"/>
        </w:numPr>
        <w:tabs>
          <w:tab w:val="left" w:pos="1701"/>
        </w:tabs>
        <w:autoSpaceDE w:val="0"/>
        <w:autoSpaceDN w:val="0"/>
        <w:adjustRightInd w:val="0"/>
        <w:spacing w:before="120" w:after="0" w:line="240" w:lineRule="auto"/>
        <w:ind w:left="1701" w:hanging="567"/>
        <w:jc w:val="both"/>
        <w:rPr>
          <w:rFonts w:eastAsia="Times New Roman" w:cstheme="minorHAnsi"/>
          <w:sz w:val="20"/>
          <w:szCs w:val="20"/>
        </w:rPr>
      </w:pPr>
      <w:r w:rsidRPr="008A14BB">
        <w:rPr>
          <w:rFonts w:eastAsia="Times New Roman" w:cstheme="minorHAnsi"/>
          <w:sz w:val="20"/>
          <w:szCs w:val="20"/>
        </w:rPr>
        <w:t xml:space="preserve">Options, futures, swaps, forward agreements and any other derivative contracts related to goods, whereunder the obligations may be physically settled </w:t>
      </w:r>
      <w:proofErr w:type="gramStart"/>
      <w:r w:rsidRPr="008A14BB">
        <w:rPr>
          <w:rFonts w:eastAsia="Times New Roman" w:cstheme="minorHAnsi"/>
          <w:sz w:val="20"/>
          <w:szCs w:val="20"/>
        </w:rPr>
        <w:t>provided that</w:t>
      </w:r>
      <w:proofErr w:type="gramEnd"/>
      <w:r w:rsidRPr="008A14BB">
        <w:rPr>
          <w:rFonts w:eastAsia="Times New Roman" w:cstheme="minorHAnsi"/>
          <w:sz w:val="20"/>
          <w:szCs w:val="20"/>
        </w:rPr>
        <w:t xml:space="preserve"> they are traded on a regulated market and/or multilateral trading facility (MTF).</w:t>
      </w:r>
    </w:p>
    <w:p w:rsidR="008A14BB" w:rsidRPr="008A14BB" w:rsidRDefault="008A14BB" w:rsidP="008A14BB">
      <w:pPr>
        <w:numPr>
          <w:ilvl w:val="0"/>
          <w:numId w:val="10"/>
        </w:numPr>
        <w:autoSpaceDE w:val="0"/>
        <w:autoSpaceDN w:val="0"/>
        <w:adjustRightInd w:val="0"/>
        <w:spacing w:before="120" w:after="0" w:line="240" w:lineRule="auto"/>
        <w:jc w:val="both"/>
        <w:rPr>
          <w:rFonts w:eastAsia="Times New Roman" w:cstheme="minorHAnsi"/>
          <w:sz w:val="20"/>
          <w:szCs w:val="20"/>
        </w:rPr>
      </w:pPr>
      <w:r w:rsidRPr="008A14BB">
        <w:rPr>
          <w:rFonts w:eastAsia="Times New Roman" w:cstheme="minorHAnsi"/>
          <w:sz w:val="20"/>
          <w:szCs w:val="20"/>
        </w:rPr>
        <w:t>granting facilities or loans to an investor for carrying out of transaction in one or more of the following financial instruments:</w:t>
      </w:r>
    </w:p>
    <w:p w:rsidR="008A14BB" w:rsidRPr="008A14BB" w:rsidRDefault="008A14BB" w:rsidP="008A14BB">
      <w:pPr>
        <w:numPr>
          <w:ilvl w:val="0"/>
          <w:numId w:val="9"/>
        </w:numPr>
        <w:tabs>
          <w:tab w:val="left" w:pos="1701"/>
        </w:tabs>
        <w:autoSpaceDE w:val="0"/>
        <w:autoSpaceDN w:val="0"/>
        <w:adjustRightInd w:val="0"/>
        <w:spacing w:before="120" w:after="0" w:line="240" w:lineRule="auto"/>
        <w:ind w:left="1701" w:hanging="567"/>
        <w:jc w:val="both"/>
        <w:rPr>
          <w:rFonts w:eastAsia="Times New Roman" w:cstheme="minorHAnsi"/>
          <w:sz w:val="20"/>
          <w:szCs w:val="20"/>
        </w:rPr>
      </w:pPr>
      <w:r w:rsidRPr="008A14BB">
        <w:rPr>
          <w:rFonts w:eastAsia="Times New Roman" w:cstheme="minorHAnsi"/>
          <w:sz w:val="20"/>
          <w:szCs w:val="20"/>
        </w:rPr>
        <w:t>Transferable securities and/or</w:t>
      </w:r>
    </w:p>
    <w:p w:rsidR="008A14BB" w:rsidRPr="008A14BB" w:rsidRDefault="008A14BB" w:rsidP="008A14BB">
      <w:pPr>
        <w:numPr>
          <w:ilvl w:val="0"/>
          <w:numId w:val="9"/>
        </w:numPr>
        <w:tabs>
          <w:tab w:val="left" w:pos="1701"/>
        </w:tabs>
        <w:autoSpaceDE w:val="0"/>
        <w:autoSpaceDN w:val="0"/>
        <w:adjustRightInd w:val="0"/>
        <w:spacing w:before="120" w:after="0" w:line="240" w:lineRule="auto"/>
        <w:ind w:left="1701" w:hanging="567"/>
        <w:jc w:val="both"/>
        <w:rPr>
          <w:rFonts w:eastAsia="Times New Roman" w:cstheme="minorHAnsi"/>
          <w:sz w:val="20"/>
          <w:szCs w:val="20"/>
        </w:rPr>
      </w:pPr>
      <w:r w:rsidRPr="008A14BB">
        <w:rPr>
          <w:rFonts w:eastAsia="Times New Roman" w:cstheme="minorHAnsi"/>
          <w:sz w:val="20"/>
          <w:szCs w:val="20"/>
        </w:rPr>
        <w:t>Money market instruments.</w:t>
      </w:r>
    </w:p>
    <w:p w:rsidR="008A14BB" w:rsidRPr="00880359" w:rsidRDefault="008A14BB" w:rsidP="00FB7BC0">
      <w:pPr>
        <w:jc w:val="both"/>
        <w:rPr>
          <w:rFonts w:cstheme="minorHAnsi"/>
          <w:sz w:val="20"/>
          <w:szCs w:val="20"/>
        </w:rPr>
      </w:pPr>
    </w:p>
    <w:p w:rsidR="008A14BB" w:rsidRPr="008A14BB" w:rsidRDefault="008A14BB" w:rsidP="00880359">
      <w:pPr>
        <w:rPr>
          <w:rFonts w:cstheme="minorHAnsi"/>
          <w:sz w:val="20"/>
          <w:szCs w:val="20"/>
        </w:rPr>
      </w:pPr>
      <w:r w:rsidRPr="00880359">
        <w:rPr>
          <w:rFonts w:cstheme="minorHAnsi"/>
          <w:sz w:val="20"/>
          <w:szCs w:val="20"/>
        </w:rPr>
        <w:t xml:space="preserve">The Bank executes transactions with financial </w:t>
      </w:r>
      <w:r w:rsidRPr="008A14BB">
        <w:rPr>
          <w:rFonts w:cstheme="minorHAnsi"/>
          <w:sz w:val="20"/>
          <w:szCs w:val="20"/>
        </w:rPr>
        <w:t xml:space="preserve">instruments (under the definition for a “financial instrument” provided in </w:t>
      </w:r>
      <w:proofErr w:type="spellStart"/>
      <w:r w:rsidRPr="008A14BB">
        <w:rPr>
          <w:rFonts w:cstheme="minorHAnsi"/>
          <w:sz w:val="20"/>
          <w:szCs w:val="20"/>
        </w:rPr>
        <w:t>MiFIA</w:t>
      </w:r>
      <w:proofErr w:type="spellEnd"/>
      <w:r w:rsidRPr="008A14BB">
        <w:rPr>
          <w:rFonts w:cstheme="minorHAnsi"/>
          <w:sz w:val="20"/>
          <w:szCs w:val="20"/>
        </w:rPr>
        <w:t xml:space="preserve">) for own account or on behalf of </w:t>
      </w:r>
      <w:r w:rsidRPr="00880359">
        <w:rPr>
          <w:rFonts w:cstheme="minorHAnsi"/>
          <w:sz w:val="20"/>
          <w:szCs w:val="20"/>
        </w:rPr>
        <w:t>c</w:t>
      </w:r>
      <w:r w:rsidRPr="008A14BB">
        <w:rPr>
          <w:rFonts w:cstheme="minorHAnsi"/>
          <w:sz w:val="20"/>
          <w:szCs w:val="20"/>
        </w:rPr>
        <w:t xml:space="preserve">lients as well as for intermediation in concluding such transactions performed by the Bank. </w:t>
      </w:r>
    </w:p>
    <w:p w:rsidR="005C0565" w:rsidRDefault="008A14BB" w:rsidP="00FB7BC0">
      <w:pPr>
        <w:rPr>
          <w:sz w:val="20"/>
          <w:szCs w:val="20"/>
        </w:rPr>
      </w:pPr>
      <w:r>
        <w:rPr>
          <w:sz w:val="20"/>
          <w:szCs w:val="20"/>
        </w:rPr>
        <w:t xml:space="preserve">Terms and conditions of the specific transaction (contract) are agreed between the parties in </w:t>
      </w:r>
      <w:proofErr w:type="gramStart"/>
      <w:r>
        <w:rPr>
          <w:sz w:val="20"/>
          <w:szCs w:val="20"/>
        </w:rPr>
        <w:t>an</w:t>
      </w:r>
      <w:proofErr w:type="gramEnd"/>
      <w:r>
        <w:rPr>
          <w:sz w:val="20"/>
          <w:szCs w:val="20"/>
        </w:rPr>
        <w:t xml:space="preserve"> written agreement.</w:t>
      </w:r>
    </w:p>
    <w:p w:rsidR="00880359" w:rsidRPr="00880359" w:rsidRDefault="00880359" w:rsidP="00880359">
      <w:pPr>
        <w:rPr>
          <w:sz w:val="20"/>
          <w:szCs w:val="20"/>
        </w:rPr>
      </w:pPr>
      <w:r w:rsidRPr="00880359">
        <w:rPr>
          <w:sz w:val="20"/>
          <w:szCs w:val="20"/>
        </w:rPr>
        <w:t xml:space="preserve">The Bank notifies the client of the existing system for compensation of investors in financial instruments, including its scope and the guaranteed amount of client assets, and to comply with this obligation the Bank has published this information on its official web page. The Bank shall provide data about the terms and procedure for compensation at request and this information is also available on the official web page of the Bank. </w:t>
      </w:r>
    </w:p>
    <w:p w:rsidR="00E21E03" w:rsidRDefault="00880359" w:rsidP="00880359">
      <w:pPr>
        <w:rPr>
          <w:sz w:val="20"/>
          <w:szCs w:val="20"/>
        </w:rPr>
      </w:pPr>
      <w:r>
        <w:rPr>
          <w:sz w:val="20"/>
          <w:szCs w:val="20"/>
        </w:rPr>
        <w:t>The</w:t>
      </w:r>
      <w:r w:rsidRPr="00880359">
        <w:rPr>
          <w:sz w:val="20"/>
          <w:szCs w:val="20"/>
          <w:lang w:val="bg-BG"/>
        </w:rPr>
        <w:t xml:space="preserve"> </w:t>
      </w:r>
      <w:r>
        <w:rPr>
          <w:sz w:val="20"/>
          <w:szCs w:val="20"/>
        </w:rPr>
        <w:t>Bank</w:t>
      </w:r>
      <w:r w:rsidRPr="00880359">
        <w:rPr>
          <w:sz w:val="20"/>
          <w:szCs w:val="20"/>
          <w:lang w:val="bg-BG"/>
        </w:rPr>
        <w:t xml:space="preserve"> </w:t>
      </w:r>
      <w:r>
        <w:rPr>
          <w:sz w:val="20"/>
          <w:szCs w:val="20"/>
        </w:rPr>
        <w:t>executes</w:t>
      </w:r>
      <w:r w:rsidRPr="00880359">
        <w:rPr>
          <w:sz w:val="20"/>
          <w:szCs w:val="20"/>
          <w:lang w:val="bg-BG"/>
        </w:rPr>
        <w:t xml:space="preserve"> </w:t>
      </w:r>
      <w:r>
        <w:rPr>
          <w:sz w:val="20"/>
          <w:szCs w:val="20"/>
        </w:rPr>
        <w:t>agreements</w:t>
      </w:r>
      <w:r w:rsidRPr="00880359">
        <w:rPr>
          <w:sz w:val="20"/>
          <w:szCs w:val="20"/>
          <w:lang w:val="bg-BG"/>
        </w:rPr>
        <w:t xml:space="preserve"> </w:t>
      </w:r>
      <w:r>
        <w:rPr>
          <w:sz w:val="20"/>
          <w:szCs w:val="20"/>
        </w:rPr>
        <w:t>with</w:t>
      </w:r>
      <w:r w:rsidRPr="00880359">
        <w:rPr>
          <w:sz w:val="20"/>
          <w:szCs w:val="20"/>
          <w:lang w:val="bg-BG"/>
        </w:rPr>
        <w:t xml:space="preserve"> </w:t>
      </w:r>
      <w:r>
        <w:rPr>
          <w:sz w:val="20"/>
          <w:szCs w:val="20"/>
        </w:rPr>
        <w:t>clients</w:t>
      </w:r>
      <w:r w:rsidRPr="00880359">
        <w:rPr>
          <w:sz w:val="20"/>
          <w:szCs w:val="20"/>
          <w:lang w:val="bg-BG"/>
        </w:rPr>
        <w:t xml:space="preserve"> </w:t>
      </w:r>
      <w:r>
        <w:rPr>
          <w:sz w:val="20"/>
          <w:szCs w:val="20"/>
        </w:rPr>
        <w:t>through</w:t>
      </w:r>
      <w:r w:rsidRPr="00880359">
        <w:rPr>
          <w:sz w:val="20"/>
          <w:szCs w:val="20"/>
          <w:lang w:val="bg-BG"/>
        </w:rPr>
        <w:t xml:space="preserve"> </w:t>
      </w:r>
      <w:r>
        <w:rPr>
          <w:sz w:val="20"/>
          <w:szCs w:val="20"/>
        </w:rPr>
        <w:t>the</w:t>
      </w:r>
      <w:r w:rsidRPr="00880359">
        <w:rPr>
          <w:sz w:val="20"/>
          <w:szCs w:val="20"/>
          <w:lang w:val="bg-BG"/>
        </w:rPr>
        <w:t xml:space="preserve"> </w:t>
      </w:r>
      <w:r>
        <w:rPr>
          <w:sz w:val="20"/>
          <w:szCs w:val="20"/>
        </w:rPr>
        <w:t>statutory</w:t>
      </w:r>
      <w:r w:rsidRPr="00880359">
        <w:rPr>
          <w:sz w:val="20"/>
          <w:szCs w:val="20"/>
          <w:lang w:val="bg-BG"/>
        </w:rPr>
        <w:t xml:space="preserve"> </w:t>
      </w:r>
      <w:r>
        <w:rPr>
          <w:sz w:val="20"/>
          <w:szCs w:val="20"/>
        </w:rPr>
        <w:t>representatives</w:t>
      </w:r>
      <w:r w:rsidRPr="00880359">
        <w:rPr>
          <w:sz w:val="20"/>
          <w:szCs w:val="20"/>
          <w:lang w:val="bg-BG"/>
        </w:rPr>
        <w:t xml:space="preserve"> (</w:t>
      </w:r>
      <w:r>
        <w:rPr>
          <w:sz w:val="20"/>
          <w:szCs w:val="20"/>
        </w:rPr>
        <w:t>branch</w:t>
      </w:r>
      <w:r w:rsidRPr="00880359">
        <w:rPr>
          <w:sz w:val="20"/>
          <w:szCs w:val="20"/>
          <w:lang w:val="bg-BG"/>
        </w:rPr>
        <w:t xml:space="preserve"> </w:t>
      </w:r>
      <w:r>
        <w:rPr>
          <w:sz w:val="20"/>
          <w:szCs w:val="20"/>
        </w:rPr>
        <w:t>managers</w:t>
      </w:r>
      <w:r w:rsidRPr="00880359">
        <w:rPr>
          <w:sz w:val="20"/>
          <w:szCs w:val="20"/>
          <w:lang w:val="bg-BG"/>
        </w:rPr>
        <w:t xml:space="preserve">) </w:t>
      </w:r>
      <w:r>
        <w:rPr>
          <w:sz w:val="20"/>
          <w:szCs w:val="20"/>
        </w:rPr>
        <w:t>or</w:t>
      </w:r>
      <w:r w:rsidRPr="00880359">
        <w:rPr>
          <w:sz w:val="20"/>
          <w:szCs w:val="20"/>
          <w:lang w:val="bg-BG"/>
        </w:rPr>
        <w:t xml:space="preserve"> </w:t>
      </w:r>
      <w:r>
        <w:rPr>
          <w:sz w:val="20"/>
          <w:szCs w:val="20"/>
        </w:rPr>
        <w:t>through</w:t>
      </w:r>
      <w:r w:rsidRPr="00880359">
        <w:rPr>
          <w:sz w:val="20"/>
          <w:szCs w:val="20"/>
          <w:lang w:val="bg-BG"/>
        </w:rPr>
        <w:t xml:space="preserve"> </w:t>
      </w:r>
      <w:r>
        <w:rPr>
          <w:sz w:val="20"/>
          <w:szCs w:val="20"/>
        </w:rPr>
        <w:t>the</w:t>
      </w:r>
      <w:r w:rsidRPr="00880359">
        <w:rPr>
          <w:sz w:val="20"/>
          <w:szCs w:val="20"/>
          <w:lang w:val="bg-BG"/>
        </w:rPr>
        <w:t xml:space="preserve"> </w:t>
      </w:r>
      <w:r>
        <w:rPr>
          <w:sz w:val="20"/>
          <w:szCs w:val="20"/>
        </w:rPr>
        <w:t>financial</w:t>
      </w:r>
      <w:r w:rsidRPr="00880359">
        <w:rPr>
          <w:sz w:val="20"/>
          <w:szCs w:val="20"/>
          <w:lang w:val="bg-BG"/>
        </w:rPr>
        <w:t xml:space="preserve"> </w:t>
      </w:r>
      <w:proofErr w:type="gramStart"/>
      <w:r>
        <w:rPr>
          <w:sz w:val="20"/>
          <w:szCs w:val="20"/>
        </w:rPr>
        <w:t>instruments</w:t>
      </w:r>
      <w:proofErr w:type="gramEnd"/>
      <w:r w:rsidRPr="00880359">
        <w:rPr>
          <w:sz w:val="20"/>
          <w:szCs w:val="20"/>
          <w:lang w:val="bg-BG"/>
        </w:rPr>
        <w:t xml:space="preserve"> </w:t>
      </w:r>
      <w:r>
        <w:rPr>
          <w:sz w:val="20"/>
          <w:szCs w:val="20"/>
        </w:rPr>
        <w:t>brokers</w:t>
      </w:r>
      <w:r w:rsidRPr="00880359">
        <w:rPr>
          <w:sz w:val="20"/>
          <w:szCs w:val="20"/>
          <w:lang w:val="bg-BG"/>
        </w:rPr>
        <w:t>.</w:t>
      </w:r>
      <w:r w:rsidR="00E21E03" w:rsidRPr="00FB7BC0">
        <w:rPr>
          <w:sz w:val="20"/>
          <w:szCs w:val="20"/>
          <w:lang w:val="bg-BG"/>
        </w:rPr>
        <w:t xml:space="preserve"> </w:t>
      </w:r>
    </w:p>
    <w:p w:rsidR="00F83AF6" w:rsidRDefault="00F83AF6" w:rsidP="00F83AF6">
      <w:pPr>
        <w:rPr>
          <w:sz w:val="20"/>
          <w:szCs w:val="20"/>
        </w:rPr>
      </w:pPr>
      <w:r w:rsidRPr="00F83AF6">
        <w:rPr>
          <w:sz w:val="20"/>
          <w:szCs w:val="20"/>
        </w:rPr>
        <w:t>In accordance with Article 96, Paragraph 1 of the MFIA, the reception and initiation by the Bank of telephone calls and messages or of calls and messages through electronic means of communication, which relate to the conclusion of transactions on its own account or to the acceptance, transmission and execution of orders to clients, shall be carried out by technical means and equipment</w:t>
      </w:r>
      <w:r w:rsidRPr="00717037">
        <w:rPr>
          <w:sz w:val="20"/>
          <w:szCs w:val="20"/>
        </w:rPr>
        <w:t>,</w:t>
      </w:r>
      <w:r w:rsidRPr="00F83AF6">
        <w:rPr>
          <w:sz w:val="20"/>
          <w:szCs w:val="20"/>
        </w:rPr>
        <w:t xml:space="preserve">  designated for the purpose by the Bank and/or made available to the relevant employees or other persons performing these actions for the Bank. </w:t>
      </w:r>
      <w:r w:rsidRPr="00717037">
        <w:rPr>
          <w:sz w:val="20"/>
          <w:szCs w:val="20"/>
        </w:rPr>
        <w:t xml:space="preserve">The Bank hereby informs its clients that telephone conversations and electronic communication with them pursuant to Article 96, paragraph 1 will be recorded. </w:t>
      </w:r>
    </w:p>
    <w:p w:rsidR="00B00C14" w:rsidRPr="00B00C14" w:rsidRDefault="00B00C14" w:rsidP="00717037">
      <w:pPr>
        <w:shd w:val="clear" w:color="auto" w:fill="FFFFFF"/>
        <w:spacing w:before="100" w:beforeAutospacing="1" w:after="100" w:afterAutospacing="1" w:line="240" w:lineRule="auto"/>
        <w:rPr>
          <w:sz w:val="20"/>
          <w:szCs w:val="20"/>
        </w:rPr>
      </w:pPr>
      <w:r w:rsidRPr="00B00C14">
        <w:rPr>
          <w:sz w:val="20"/>
          <w:szCs w:val="20"/>
        </w:rPr>
        <w:t xml:space="preserve">The necessary information and documents in connection with the provided investment services and activities under the Markets in Financial Instruments Act are available on the website, section "Important Information" / </w:t>
      </w:r>
      <w:r w:rsidRPr="00717037">
        <w:rPr>
          <w:sz w:val="20"/>
          <w:szCs w:val="20"/>
        </w:rPr>
        <w:t>MiFID Information</w:t>
      </w:r>
      <w:r w:rsidRPr="00B00C14">
        <w:rPr>
          <w:sz w:val="20"/>
          <w:szCs w:val="20"/>
        </w:rPr>
        <w:t xml:space="preserve">/ </w:t>
      </w:r>
      <w:hyperlink r:id="rId7" w:tgtFrame="_blank" w:history="1">
        <w:r w:rsidRPr="00B00C14">
          <w:rPr>
            <w:sz w:val="20"/>
            <w:szCs w:val="20"/>
          </w:rPr>
          <w:t>MiFID.</w:t>
        </w:r>
      </w:hyperlink>
    </w:p>
    <w:p w:rsidR="00BF6DBD" w:rsidRPr="00717037" w:rsidRDefault="00BF6DBD" w:rsidP="00F83AF6">
      <w:pPr>
        <w:rPr>
          <w:sz w:val="20"/>
          <w:szCs w:val="20"/>
        </w:rPr>
      </w:pPr>
    </w:p>
    <w:sectPr w:rsidR="00BF6DBD" w:rsidRPr="00717037">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C1370" w:rsidRDefault="00FC1370" w:rsidP="00B4442A">
      <w:pPr>
        <w:spacing w:after="0" w:line="240" w:lineRule="auto"/>
      </w:pPr>
      <w:r>
        <w:separator/>
      </w:r>
    </w:p>
  </w:endnote>
  <w:endnote w:type="continuationSeparator" w:id="0">
    <w:p w:rsidR="00FC1370" w:rsidRDefault="00FC1370" w:rsidP="00B444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C1370" w:rsidRDefault="00FC1370" w:rsidP="00B4442A">
      <w:pPr>
        <w:spacing w:after="0" w:line="240" w:lineRule="auto"/>
      </w:pPr>
      <w:r>
        <w:separator/>
      </w:r>
    </w:p>
  </w:footnote>
  <w:footnote w:type="continuationSeparator" w:id="0">
    <w:p w:rsidR="00FC1370" w:rsidRDefault="00FC1370" w:rsidP="00B444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06819" w:rsidRDefault="00B06819" w:rsidP="00B06819">
    <w:pPr>
      <w:pStyle w:val="Header"/>
      <w:jc w:val="right"/>
    </w:pPr>
    <w:r>
      <w:rPr>
        <w:noProof/>
      </w:rPr>
      <w:drawing>
        <wp:inline distT="0" distB="0" distL="0" distR="0" wp14:anchorId="5AEFBEA4" wp14:editId="3A718B05">
          <wp:extent cx="685800" cy="419735"/>
          <wp:effectExtent l="0" t="0" r="0" b="0"/>
          <wp:docPr id="2" name="Graphic 2" descr="Cit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Citi logo"/>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5800" cy="4197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45878"/>
    <w:multiLevelType w:val="hybridMultilevel"/>
    <w:tmpl w:val="7A080F9E"/>
    <w:lvl w:ilvl="0" w:tplc="04090017">
      <w:start w:val="1"/>
      <w:numFmt w:val="lowerLetter"/>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 w15:restartNumberingAfterBreak="0">
    <w:nsid w:val="12062A2C"/>
    <w:multiLevelType w:val="hybridMultilevel"/>
    <w:tmpl w:val="C180CFFC"/>
    <w:lvl w:ilvl="0" w:tplc="9D426A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CE5154"/>
    <w:multiLevelType w:val="hybridMultilevel"/>
    <w:tmpl w:val="895ACB06"/>
    <w:lvl w:ilvl="0" w:tplc="0409000F">
      <w:start w:val="1"/>
      <w:numFmt w:val="decimal"/>
      <w:lvlText w:val="%1."/>
      <w:lvlJc w:val="left"/>
      <w:pPr>
        <w:tabs>
          <w:tab w:val="num" w:pos="360"/>
        </w:tabs>
        <w:ind w:left="360" w:hanging="360"/>
      </w:pPr>
    </w:lvl>
    <w:lvl w:ilvl="1" w:tplc="BAFE265E">
      <w:start w:val="1"/>
      <w:numFmt w:val="lowerRoman"/>
      <w:lvlText w:val="(%2)"/>
      <w:lvlJc w:val="left"/>
      <w:pPr>
        <w:tabs>
          <w:tab w:val="num" w:pos="1440"/>
        </w:tabs>
        <w:ind w:left="1440" w:hanging="72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FCB5AD9"/>
    <w:multiLevelType w:val="hybridMultilevel"/>
    <w:tmpl w:val="895ACB06"/>
    <w:lvl w:ilvl="0" w:tplc="0409000F">
      <w:start w:val="1"/>
      <w:numFmt w:val="decimal"/>
      <w:lvlText w:val="%1."/>
      <w:lvlJc w:val="left"/>
      <w:pPr>
        <w:tabs>
          <w:tab w:val="num" w:pos="360"/>
        </w:tabs>
        <w:ind w:left="360" w:hanging="360"/>
      </w:pPr>
    </w:lvl>
    <w:lvl w:ilvl="1" w:tplc="BAFE265E">
      <w:start w:val="1"/>
      <w:numFmt w:val="lowerRoman"/>
      <w:lvlText w:val="(%2)"/>
      <w:lvlJc w:val="left"/>
      <w:pPr>
        <w:tabs>
          <w:tab w:val="num" w:pos="1440"/>
        </w:tabs>
        <w:ind w:left="1440" w:hanging="72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30F3DFC"/>
    <w:multiLevelType w:val="hybridMultilevel"/>
    <w:tmpl w:val="895ACB06"/>
    <w:lvl w:ilvl="0" w:tplc="0409000F">
      <w:start w:val="1"/>
      <w:numFmt w:val="decimal"/>
      <w:lvlText w:val="%1."/>
      <w:lvlJc w:val="left"/>
      <w:pPr>
        <w:tabs>
          <w:tab w:val="num" w:pos="720"/>
        </w:tabs>
        <w:ind w:left="720" w:hanging="360"/>
      </w:pPr>
    </w:lvl>
    <w:lvl w:ilvl="1" w:tplc="BAFE265E">
      <w:start w:val="1"/>
      <w:numFmt w:val="lowerRoman"/>
      <w:lvlText w:val="(%2)"/>
      <w:lvlJc w:val="left"/>
      <w:pPr>
        <w:tabs>
          <w:tab w:val="num" w:pos="1800"/>
        </w:tabs>
        <w:ind w:left="1800" w:hanging="72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46669C7"/>
    <w:multiLevelType w:val="hybridMultilevel"/>
    <w:tmpl w:val="7A080F9E"/>
    <w:lvl w:ilvl="0" w:tplc="04090017">
      <w:start w:val="1"/>
      <w:numFmt w:val="lowerLetter"/>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 w15:restartNumberingAfterBreak="0">
    <w:nsid w:val="357F0C1D"/>
    <w:multiLevelType w:val="multilevel"/>
    <w:tmpl w:val="BFF0F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1D3396"/>
    <w:multiLevelType w:val="hybridMultilevel"/>
    <w:tmpl w:val="5972C242"/>
    <w:lvl w:ilvl="0" w:tplc="3B325A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A85498F"/>
    <w:multiLevelType w:val="hybridMultilevel"/>
    <w:tmpl w:val="7A080F9E"/>
    <w:lvl w:ilvl="0" w:tplc="04090017">
      <w:start w:val="1"/>
      <w:numFmt w:val="lowerLetter"/>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9" w15:restartNumberingAfterBreak="0">
    <w:nsid w:val="50C96B29"/>
    <w:multiLevelType w:val="hybridMultilevel"/>
    <w:tmpl w:val="7A080F9E"/>
    <w:lvl w:ilvl="0" w:tplc="04090017">
      <w:start w:val="1"/>
      <w:numFmt w:val="lowerLetter"/>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0" w15:restartNumberingAfterBreak="0">
    <w:nsid w:val="5D9E2F91"/>
    <w:multiLevelType w:val="hybridMultilevel"/>
    <w:tmpl w:val="7A080F9E"/>
    <w:lvl w:ilvl="0" w:tplc="04090017">
      <w:start w:val="1"/>
      <w:numFmt w:val="lowerLetter"/>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1" w15:restartNumberingAfterBreak="0">
    <w:nsid w:val="6C444404"/>
    <w:multiLevelType w:val="hybridMultilevel"/>
    <w:tmpl w:val="0B6A5A50"/>
    <w:lvl w:ilvl="0" w:tplc="BAFE265E">
      <w:start w:val="1"/>
      <w:numFmt w:val="lowerRoman"/>
      <w:lvlText w:val="(%1)"/>
      <w:lvlJc w:val="left"/>
      <w:pPr>
        <w:tabs>
          <w:tab w:val="num" w:pos="1800"/>
        </w:tabs>
        <w:ind w:left="180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9D3667E"/>
    <w:multiLevelType w:val="hybridMultilevel"/>
    <w:tmpl w:val="296CA18E"/>
    <w:lvl w:ilvl="0" w:tplc="87CE92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559405">
    <w:abstractNumId w:val="12"/>
  </w:num>
  <w:num w:numId="2" w16cid:durableId="682051867">
    <w:abstractNumId w:val="1"/>
  </w:num>
  <w:num w:numId="3" w16cid:durableId="121273509">
    <w:abstractNumId w:val="7"/>
  </w:num>
  <w:num w:numId="4" w16cid:durableId="631331664">
    <w:abstractNumId w:val="4"/>
  </w:num>
  <w:num w:numId="5" w16cid:durableId="1035153711">
    <w:abstractNumId w:val="8"/>
  </w:num>
  <w:num w:numId="6" w16cid:durableId="332614029">
    <w:abstractNumId w:val="9"/>
  </w:num>
  <w:num w:numId="7" w16cid:durableId="1637755114">
    <w:abstractNumId w:val="0"/>
  </w:num>
  <w:num w:numId="8" w16cid:durableId="1453206700">
    <w:abstractNumId w:val="5"/>
  </w:num>
  <w:num w:numId="9" w16cid:durableId="2140412543">
    <w:abstractNumId w:val="10"/>
  </w:num>
  <w:num w:numId="10" w16cid:durableId="1573156430">
    <w:abstractNumId w:val="11"/>
  </w:num>
  <w:num w:numId="11" w16cid:durableId="1148935317">
    <w:abstractNumId w:val="2"/>
  </w:num>
  <w:num w:numId="12" w16cid:durableId="828669879">
    <w:abstractNumId w:val="3"/>
  </w:num>
  <w:num w:numId="13" w16cid:durableId="11579155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6F0"/>
    <w:rsid w:val="0024146C"/>
    <w:rsid w:val="002A353F"/>
    <w:rsid w:val="00427C82"/>
    <w:rsid w:val="004406F0"/>
    <w:rsid w:val="004517AB"/>
    <w:rsid w:val="00466C7A"/>
    <w:rsid w:val="004F2326"/>
    <w:rsid w:val="005C0565"/>
    <w:rsid w:val="00613DF7"/>
    <w:rsid w:val="006D7065"/>
    <w:rsid w:val="006E6B8C"/>
    <w:rsid w:val="00717037"/>
    <w:rsid w:val="007363DC"/>
    <w:rsid w:val="008246EE"/>
    <w:rsid w:val="00880359"/>
    <w:rsid w:val="008A14BB"/>
    <w:rsid w:val="00A42A48"/>
    <w:rsid w:val="00B00C14"/>
    <w:rsid w:val="00B06819"/>
    <w:rsid w:val="00B26E85"/>
    <w:rsid w:val="00B303F4"/>
    <w:rsid w:val="00B4442A"/>
    <w:rsid w:val="00BF6DBD"/>
    <w:rsid w:val="00C35980"/>
    <w:rsid w:val="00C56733"/>
    <w:rsid w:val="00CC6C4E"/>
    <w:rsid w:val="00E21E03"/>
    <w:rsid w:val="00F15729"/>
    <w:rsid w:val="00F635ED"/>
    <w:rsid w:val="00F83AF6"/>
    <w:rsid w:val="00F97396"/>
    <w:rsid w:val="00FB31E8"/>
    <w:rsid w:val="00FB7BC0"/>
    <w:rsid w:val="00FC1370"/>
  </w:rsids>
  <m:mathPr>
    <m:mathFont m:val="Cambria Math"/>
    <m:brkBin m:val="before"/>
    <m:brkBinSub m:val="--"/>
    <m:smallFrac m:val="0"/>
    <m:dispDef/>
    <m:lMargin m:val="0"/>
    <m:rMargin m:val="0"/>
    <m:defJc m:val="centerGroup"/>
    <m:wrapIndent m:val="1440"/>
    <m:intLim m:val="subSup"/>
    <m:naryLim m:val="undOvr"/>
  </m:mathPr>
  <w:themeFontLang w:val="en-GB"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1BCC81"/>
  <w15:chartTrackingRefBased/>
  <w15:docId w15:val="{6EEFDD91-23BF-4C7D-A497-406A0D488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2326"/>
    <w:pPr>
      <w:ind w:left="720"/>
      <w:contextualSpacing/>
    </w:pPr>
  </w:style>
  <w:style w:type="character" w:styleId="Hyperlink">
    <w:name w:val="Hyperlink"/>
    <w:basedOn w:val="DefaultParagraphFont"/>
    <w:uiPriority w:val="99"/>
    <w:semiHidden/>
    <w:unhideWhenUsed/>
    <w:rsid w:val="00F97396"/>
    <w:rPr>
      <w:color w:val="0000FF"/>
      <w:u w:val="single"/>
    </w:rPr>
  </w:style>
  <w:style w:type="paragraph" w:styleId="Header">
    <w:name w:val="header"/>
    <w:basedOn w:val="Normal"/>
    <w:link w:val="HeaderChar"/>
    <w:uiPriority w:val="99"/>
    <w:unhideWhenUsed/>
    <w:rsid w:val="00B06819"/>
    <w:pPr>
      <w:tabs>
        <w:tab w:val="center" w:pos="4536"/>
        <w:tab w:val="right" w:pos="9072"/>
      </w:tabs>
      <w:spacing w:after="0" w:line="240" w:lineRule="auto"/>
    </w:pPr>
  </w:style>
  <w:style w:type="character" w:customStyle="1" w:styleId="HeaderChar">
    <w:name w:val="Header Char"/>
    <w:basedOn w:val="DefaultParagraphFont"/>
    <w:link w:val="Header"/>
    <w:uiPriority w:val="99"/>
    <w:rsid w:val="00B06819"/>
  </w:style>
  <w:style w:type="paragraph" w:styleId="Footer">
    <w:name w:val="footer"/>
    <w:basedOn w:val="Normal"/>
    <w:link w:val="FooterChar"/>
    <w:uiPriority w:val="99"/>
    <w:unhideWhenUsed/>
    <w:rsid w:val="00B06819"/>
    <w:pPr>
      <w:tabs>
        <w:tab w:val="center" w:pos="4536"/>
        <w:tab w:val="right" w:pos="9072"/>
      </w:tabs>
      <w:spacing w:after="0" w:line="240" w:lineRule="auto"/>
    </w:pPr>
  </w:style>
  <w:style w:type="character" w:customStyle="1" w:styleId="FooterChar">
    <w:name w:val="Footer Char"/>
    <w:basedOn w:val="DefaultParagraphFont"/>
    <w:link w:val="Footer"/>
    <w:uiPriority w:val="99"/>
    <w:rsid w:val="00B06819"/>
  </w:style>
  <w:style w:type="paragraph" w:customStyle="1" w:styleId="Default">
    <w:name w:val="Default"/>
    <w:rsid w:val="008A14BB"/>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Revision">
    <w:name w:val="Revision"/>
    <w:hidden/>
    <w:uiPriority w:val="99"/>
    <w:semiHidden/>
    <w:rsid w:val="00F83A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870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icg.citi.com/icg/global_markets/EEA_terms.j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1026</Words>
  <Characters>5849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Jereva, Borislava [LEGL]</dc:creator>
  <cp:keywords/>
  <dc:description/>
  <cp:lastModifiedBy>Hailemichael, Nahome [CLIENT-MCO NE]</cp:lastModifiedBy>
  <cp:revision>1</cp:revision>
  <dcterms:created xsi:type="dcterms:W3CDTF">2025-12-05T15:36:00Z</dcterms:created>
  <dcterms:modified xsi:type="dcterms:W3CDTF">2025-12-05T15:36:00Z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d181445-6ec4-4473-9810-00785f082df0_Enabled">
    <vt:lpwstr>true</vt:lpwstr>
  </property>
  <property fmtid="{D5CDD505-2E9C-101B-9397-08002B2CF9AE}" pid="3" name="MSIP_Label_dd181445-6ec4-4473-9810-00785f082df0_SetDate">
    <vt:lpwstr>2023-06-30T06:37:10Z</vt:lpwstr>
  </property>
  <property fmtid="{D5CDD505-2E9C-101B-9397-08002B2CF9AE}" pid="4" name="MSIP_Label_dd181445-6ec4-4473-9810-00785f082df0_Method">
    <vt:lpwstr>Privileged</vt:lpwstr>
  </property>
  <property fmtid="{D5CDD505-2E9C-101B-9397-08002B2CF9AE}" pid="5" name="MSIP_Label_dd181445-6ec4-4473-9810-00785f082df0_Name">
    <vt:lpwstr>Internal</vt:lpwstr>
  </property>
  <property fmtid="{D5CDD505-2E9C-101B-9397-08002B2CF9AE}" pid="6" name="MSIP_Label_dd181445-6ec4-4473-9810-00785f082df0_SiteId">
    <vt:lpwstr>1771ae17-e764-4e0f-a476-d4184d79a5d9</vt:lpwstr>
  </property>
  <property fmtid="{D5CDD505-2E9C-101B-9397-08002B2CF9AE}" pid="7" name="MSIP_Label_dd181445-6ec4-4473-9810-00785f082df0_ActionId">
    <vt:lpwstr>a2f55dc6-7aeb-4082-8ec7-44ef1f6d4460</vt:lpwstr>
  </property>
  <property fmtid="{D5CDD505-2E9C-101B-9397-08002B2CF9AE}" pid="8" name="MSIP_Label_dd181445-6ec4-4473-9810-00785f082df0_ContentBits">
    <vt:lpwstr>0</vt:lpwstr>
  </property>
</Properties>
</file>