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AD5" w:rsidRDefault="00B31813" w:rsidP="00B31813">
      <w:pPr>
        <w:pStyle w:val="NoSpacing"/>
        <w:jc w:val="center"/>
        <w:rPr>
          <w:rFonts w:ascii="Arial Black" w:hAnsi="Arial Black"/>
          <w:b/>
          <w:sz w:val="24"/>
          <w:szCs w:val="24"/>
          <w:u w:val="single"/>
        </w:rPr>
      </w:pPr>
      <w:r>
        <w:rPr>
          <w:rFonts w:ascii="Arial Black" w:hAnsi="Arial Black"/>
          <w:b/>
          <w:sz w:val="24"/>
          <w:szCs w:val="24"/>
          <w:u w:val="single"/>
        </w:rPr>
        <w:t>CITIBANK, N.A. SOUTH AFRICA BRANCH</w:t>
      </w:r>
    </w:p>
    <w:p w:rsidR="00B31813" w:rsidRDefault="00B31813" w:rsidP="00B31813">
      <w:pPr>
        <w:pStyle w:val="NoSpacing"/>
        <w:jc w:val="center"/>
        <w:rPr>
          <w:rFonts w:ascii="Arial Black" w:hAnsi="Arial Black"/>
          <w:b/>
          <w:sz w:val="24"/>
          <w:szCs w:val="24"/>
          <w:u w:val="single"/>
        </w:rPr>
      </w:pPr>
    </w:p>
    <w:p w:rsidR="00B31813" w:rsidRDefault="00B31813" w:rsidP="00B31813">
      <w:pPr>
        <w:pStyle w:val="NoSpacing"/>
        <w:jc w:val="center"/>
        <w:rPr>
          <w:rFonts w:ascii="Arial Black" w:hAnsi="Arial Black"/>
          <w:b/>
          <w:sz w:val="24"/>
          <w:szCs w:val="24"/>
          <w:u w:val="single"/>
        </w:rPr>
      </w:pPr>
      <w:r>
        <w:rPr>
          <w:rFonts w:ascii="Arial Black" w:hAnsi="Arial Black"/>
          <w:b/>
          <w:sz w:val="24"/>
          <w:szCs w:val="24"/>
          <w:u w:val="single"/>
        </w:rPr>
        <w:t>QUARTERLY PUBLIC DISCLOSURE INFORMATION</w:t>
      </w:r>
    </w:p>
    <w:p w:rsidR="00B31813" w:rsidRDefault="00B31813" w:rsidP="00B31813">
      <w:pPr>
        <w:pStyle w:val="NoSpacing"/>
        <w:jc w:val="center"/>
        <w:rPr>
          <w:rFonts w:ascii="Arial Black" w:hAnsi="Arial Black"/>
          <w:b/>
          <w:sz w:val="24"/>
          <w:szCs w:val="24"/>
          <w:u w:val="single"/>
        </w:rPr>
      </w:pPr>
    </w:p>
    <w:p w:rsidR="00B31813" w:rsidRDefault="00B31813" w:rsidP="00B31813">
      <w:pPr>
        <w:pStyle w:val="NoSpacing"/>
        <w:jc w:val="both"/>
        <w:rPr>
          <w:rFonts w:ascii="Arial Black" w:hAnsi="Arial Black"/>
          <w:sz w:val="24"/>
          <w:szCs w:val="24"/>
        </w:rPr>
      </w:pPr>
    </w:p>
    <w:p w:rsidR="0013007C" w:rsidRDefault="007361EE" w:rsidP="00B31813">
      <w:pPr>
        <w:pStyle w:val="NoSpacing"/>
        <w:jc w:val="both"/>
        <w:rPr>
          <w:rFonts w:ascii="Arial Black" w:hAnsi="Arial Black"/>
          <w:sz w:val="24"/>
          <w:szCs w:val="24"/>
        </w:rPr>
      </w:pPr>
      <w:r>
        <w:rPr>
          <w:rFonts w:ascii="Arial Black" w:hAnsi="Arial Black"/>
          <w:sz w:val="24"/>
          <w:szCs w:val="24"/>
        </w:rPr>
        <w:t>Citibank, N.A. is</w:t>
      </w:r>
      <w:r w:rsidR="00ED37AB">
        <w:rPr>
          <w:rFonts w:ascii="Arial Black" w:hAnsi="Arial Black"/>
          <w:sz w:val="24"/>
          <w:szCs w:val="24"/>
        </w:rPr>
        <w:t xml:space="preserve"> incorporated in the United States of America and has a national bank charter under the National Bank Act of 1863 with the ability to open branches, establish subsidiaries and provide products and services to clients globally. </w:t>
      </w:r>
      <w:r w:rsidR="00DD00EF">
        <w:rPr>
          <w:rFonts w:ascii="Arial Black" w:hAnsi="Arial Black"/>
          <w:sz w:val="24"/>
          <w:szCs w:val="24"/>
        </w:rPr>
        <w:t>Citibank, N.A. is regulated by The Office of the Comptroller of Currency (OCC). This is the bank’s primary regulator and is authorized to examine and supervise the bank on a consolidated global basis. The Federal Deposit Insurance Corporation (FDIC) oversees the federal deposit insurance fund that insures deposits with the bank in the United States and therefore examines the bank as well.</w:t>
      </w:r>
    </w:p>
    <w:p w:rsidR="0013007C" w:rsidRDefault="0013007C" w:rsidP="00B31813">
      <w:pPr>
        <w:pStyle w:val="NoSpacing"/>
        <w:jc w:val="both"/>
        <w:rPr>
          <w:rFonts w:ascii="Arial Black" w:hAnsi="Arial Black"/>
          <w:sz w:val="24"/>
          <w:szCs w:val="24"/>
        </w:rPr>
      </w:pPr>
    </w:p>
    <w:p w:rsidR="00ED37AB" w:rsidRDefault="0013007C" w:rsidP="00B31813">
      <w:pPr>
        <w:pStyle w:val="NoSpacing"/>
        <w:jc w:val="both"/>
        <w:rPr>
          <w:rFonts w:ascii="Arial Black" w:hAnsi="Arial Black"/>
          <w:sz w:val="24"/>
          <w:szCs w:val="24"/>
        </w:rPr>
      </w:pPr>
      <w:r>
        <w:rPr>
          <w:rFonts w:ascii="Arial Black" w:hAnsi="Arial Black"/>
          <w:sz w:val="24"/>
          <w:szCs w:val="24"/>
        </w:rPr>
        <w:t>Citibank, N.A. is an indirect wholly owned subsidiary of Citigroup Inc.</w:t>
      </w:r>
      <w:r w:rsidR="00B81793">
        <w:rPr>
          <w:rFonts w:ascii="Arial Black" w:hAnsi="Arial Black"/>
          <w:sz w:val="24"/>
          <w:szCs w:val="24"/>
        </w:rPr>
        <w:t xml:space="preserve"> (Citi).</w:t>
      </w:r>
      <w:r>
        <w:rPr>
          <w:rFonts w:ascii="Arial Black" w:hAnsi="Arial Black"/>
          <w:sz w:val="24"/>
          <w:szCs w:val="24"/>
        </w:rPr>
        <w:t xml:space="preserve"> This </w:t>
      </w:r>
      <w:r w:rsidR="00E527C3">
        <w:rPr>
          <w:rFonts w:ascii="Arial Black" w:hAnsi="Arial Black"/>
          <w:sz w:val="24"/>
          <w:szCs w:val="24"/>
        </w:rPr>
        <w:t xml:space="preserve">financial holding </w:t>
      </w:r>
      <w:r>
        <w:rPr>
          <w:rFonts w:ascii="Arial Black" w:hAnsi="Arial Black"/>
          <w:sz w:val="24"/>
          <w:szCs w:val="24"/>
        </w:rPr>
        <w:t>company is</w:t>
      </w:r>
      <w:r w:rsidR="0094033D">
        <w:rPr>
          <w:rFonts w:ascii="Arial Black" w:hAnsi="Arial Black"/>
          <w:sz w:val="24"/>
          <w:szCs w:val="24"/>
        </w:rPr>
        <w:t xml:space="preserve"> domiciled in the United States of America and is</w:t>
      </w:r>
      <w:r>
        <w:rPr>
          <w:rFonts w:ascii="Arial Black" w:hAnsi="Arial Black"/>
          <w:sz w:val="24"/>
          <w:szCs w:val="24"/>
        </w:rPr>
        <w:t xml:space="preserve"> listed on the New York, Tokyo as well as the Mexico Stock Exchanges. The Federal Reserve</w:t>
      </w:r>
      <w:r w:rsidR="002065E9">
        <w:rPr>
          <w:rFonts w:ascii="Arial Black" w:hAnsi="Arial Black"/>
          <w:sz w:val="24"/>
          <w:szCs w:val="24"/>
        </w:rPr>
        <w:t xml:space="preserve"> (Fed)</w:t>
      </w:r>
      <w:r>
        <w:rPr>
          <w:rFonts w:ascii="Arial Black" w:hAnsi="Arial Black"/>
          <w:sz w:val="24"/>
          <w:szCs w:val="24"/>
        </w:rPr>
        <w:t xml:space="preserve"> is the primary prudential regulator of Citigroup Inc. </w:t>
      </w:r>
      <w:r w:rsidR="00DD00EF">
        <w:rPr>
          <w:rFonts w:ascii="Arial Black" w:hAnsi="Arial Black"/>
          <w:sz w:val="24"/>
          <w:szCs w:val="24"/>
        </w:rPr>
        <w:t xml:space="preserve">  </w:t>
      </w:r>
      <w:r w:rsidR="00ED37AB">
        <w:rPr>
          <w:rFonts w:ascii="Arial Black" w:hAnsi="Arial Black"/>
          <w:sz w:val="24"/>
          <w:szCs w:val="24"/>
        </w:rPr>
        <w:t xml:space="preserve"> </w:t>
      </w:r>
    </w:p>
    <w:p w:rsidR="00DD00EF" w:rsidRDefault="00DD00EF" w:rsidP="00B31813">
      <w:pPr>
        <w:pStyle w:val="NoSpacing"/>
        <w:jc w:val="both"/>
        <w:rPr>
          <w:rFonts w:ascii="Arial Black" w:hAnsi="Arial Black"/>
          <w:sz w:val="24"/>
          <w:szCs w:val="24"/>
        </w:rPr>
      </w:pPr>
    </w:p>
    <w:p w:rsidR="002065E9" w:rsidRDefault="00DD00EF" w:rsidP="00DD00EF">
      <w:pPr>
        <w:pStyle w:val="NoSpacing"/>
        <w:jc w:val="both"/>
        <w:rPr>
          <w:rFonts w:ascii="Arial Black" w:hAnsi="Arial Black"/>
          <w:sz w:val="24"/>
          <w:szCs w:val="24"/>
        </w:rPr>
      </w:pPr>
      <w:r>
        <w:rPr>
          <w:rFonts w:ascii="Arial Black" w:hAnsi="Arial Black"/>
          <w:sz w:val="24"/>
          <w:szCs w:val="24"/>
        </w:rPr>
        <w:t xml:space="preserve">Citibank, N.A. (Registration number 1995/007396/10) was </w:t>
      </w:r>
      <w:r w:rsidR="00B66B44">
        <w:rPr>
          <w:rFonts w:ascii="Arial Black" w:hAnsi="Arial Black"/>
          <w:sz w:val="24"/>
          <w:szCs w:val="24"/>
        </w:rPr>
        <w:t>authorized</w:t>
      </w:r>
      <w:r>
        <w:rPr>
          <w:rFonts w:ascii="Arial Black" w:hAnsi="Arial Black"/>
          <w:sz w:val="24"/>
          <w:szCs w:val="24"/>
        </w:rPr>
        <w:t xml:space="preserve"> by the Office of the Registrar of Banks at the South African Reserve Bank</w:t>
      </w:r>
      <w:r w:rsidR="002065E9">
        <w:rPr>
          <w:rFonts w:ascii="Arial Black" w:hAnsi="Arial Black"/>
          <w:sz w:val="24"/>
          <w:szCs w:val="24"/>
        </w:rPr>
        <w:t xml:space="preserve"> (SARB)</w:t>
      </w:r>
      <w:r>
        <w:rPr>
          <w:rFonts w:ascii="Arial Black" w:hAnsi="Arial Black"/>
          <w:sz w:val="24"/>
          <w:szCs w:val="24"/>
        </w:rPr>
        <w:t xml:space="preserve"> to conduct the business of a bank by means of a branch in South Africa</w:t>
      </w:r>
      <w:r w:rsidR="00B81793">
        <w:rPr>
          <w:rFonts w:ascii="Arial Black" w:hAnsi="Arial Black"/>
          <w:sz w:val="24"/>
          <w:szCs w:val="24"/>
        </w:rPr>
        <w:t xml:space="preserve"> in July 1995</w:t>
      </w:r>
      <w:r>
        <w:rPr>
          <w:rFonts w:ascii="Arial Black" w:hAnsi="Arial Black"/>
          <w:sz w:val="24"/>
          <w:szCs w:val="24"/>
        </w:rPr>
        <w:t xml:space="preserve">. </w:t>
      </w:r>
      <w:r w:rsidR="0013007C">
        <w:rPr>
          <w:rFonts w:ascii="Arial Black" w:hAnsi="Arial Black"/>
          <w:sz w:val="24"/>
          <w:szCs w:val="24"/>
        </w:rPr>
        <w:t xml:space="preserve">The local </w:t>
      </w:r>
      <w:r w:rsidR="00B66B44">
        <w:rPr>
          <w:rFonts w:ascii="Arial Black" w:hAnsi="Arial Black"/>
          <w:sz w:val="24"/>
          <w:szCs w:val="24"/>
        </w:rPr>
        <w:t>b</w:t>
      </w:r>
      <w:r w:rsidR="0013007C">
        <w:rPr>
          <w:rFonts w:ascii="Arial Black" w:hAnsi="Arial Black"/>
          <w:sz w:val="24"/>
          <w:szCs w:val="24"/>
        </w:rPr>
        <w:t xml:space="preserve">ranch is </w:t>
      </w:r>
      <w:r w:rsidR="0094033D">
        <w:rPr>
          <w:rFonts w:ascii="Arial Black" w:hAnsi="Arial Black"/>
          <w:sz w:val="24"/>
          <w:szCs w:val="24"/>
        </w:rPr>
        <w:t>supervised</w:t>
      </w:r>
      <w:r w:rsidR="0013007C">
        <w:rPr>
          <w:rFonts w:ascii="Arial Black" w:hAnsi="Arial Black"/>
          <w:sz w:val="24"/>
          <w:szCs w:val="24"/>
        </w:rPr>
        <w:t xml:space="preserve"> by the aforementioned Office</w:t>
      </w:r>
      <w:r w:rsidR="00B81793">
        <w:rPr>
          <w:rFonts w:ascii="Arial Black" w:hAnsi="Arial Black"/>
          <w:sz w:val="24"/>
          <w:szCs w:val="24"/>
        </w:rPr>
        <w:t xml:space="preserve"> of the SARB</w:t>
      </w:r>
      <w:r w:rsidR="0013007C">
        <w:rPr>
          <w:rFonts w:ascii="Arial Black" w:hAnsi="Arial Black"/>
          <w:sz w:val="24"/>
          <w:szCs w:val="24"/>
        </w:rPr>
        <w:t>. Th</w:t>
      </w:r>
      <w:r w:rsidR="00253726">
        <w:rPr>
          <w:rFonts w:ascii="Arial Black" w:hAnsi="Arial Black"/>
          <w:sz w:val="24"/>
          <w:szCs w:val="24"/>
        </w:rPr>
        <w:t xml:space="preserve">is </w:t>
      </w:r>
      <w:r w:rsidR="00B66B44">
        <w:rPr>
          <w:rFonts w:ascii="Arial Black" w:hAnsi="Arial Black"/>
          <w:sz w:val="24"/>
          <w:szCs w:val="24"/>
        </w:rPr>
        <w:t>requires that th</w:t>
      </w:r>
      <w:r w:rsidR="00253726">
        <w:rPr>
          <w:rFonts w:ascii="Arial Black" w:hAnsi="Arial Black"/>
          <w:sz w:val="24"/>
          <w:szCs w:val="24"/>
        </w:rPr>
        <w:t>e</w:t>
      </w:r>
      <w:r w:rsidR="00B66B44">
        <w:rPr>
          <w:rFonts w:ascii="Arial Black" w:hAnsi="Arial Black"/>
          <w:sz w:val="24"/>
          <w:szCs w:val="24"/>
        </w:rPr>
        <w:t xml:space="preserve"> branch </w:t>
      </w:r>
      <w:r w:rsidR="0094033D">
        <w:rPr>
          <w:rFonts w:ascii="Arial Black" w:hAnsi="Arial Black"/>
          <w:sz w:val="24"/>
          <w:szCs w:val="24"/>
        </w:rPr>
        <w:t>must adhere</w:t>
      </w:r>
      <w:r w:rsidR="00B66B44">
        <w:rPr>
          <w:rFonts w:ascii="Arial Black" w:hAnsi="Arial Black"/>
          <w:sz w:val="24"/>
          <w:szCs w:val="24"/>
        </w:rPr>
        <w:t xml:space="preserve"> to </w:t>
      </w:r>
      <w:r w:rsidR="002065E9">
        <w:rPr>
          <w:rFonts w:ascii="Arial Black" w:hAnsi="Arial Black"/>
          <w:sz w:val="24"/>
          <w:szCs w:val="24"/>
        </w:rPr>
        <w:t>the</w:t>
      </w:r>
      <w:r w:rsidR="00253726">
        <w:rPr>
          <w:rFonts w:ascii="Arial Black" w:hAnsi="Arial Black"/>
          <w:sz w:val="24"/>
          <w:szCs w:val="24"/>
        </w:rPr>
        <w:t xml:space="preserve"> various</w:t>
      </w:r>
      <w:r w:rsidR="00B66B44">
        <w:rPr>
          <w:rFonts w:ascii="Arial Black" w:hAnsi="Arial Black"/>
          <w:sz w:val="24"/>
          <w:szCs w:val="24"/>
        </w:rPr>
        <w:t xml:space="preserve"> prudential requirements in terms of the Banks Act of 1994, as amended and</w:t>
      </w:r>
      <w:r w:rsidR="0094033D">
        <w:rPr>
          <w:rFonts w:ascii="Arial Black" w:hAnsi="Arial Black"/>
          <w:sz w:val="24"/>
          <w:szCs w:val="24"/>
        </w:rPr>
        <w:t xml:space="preserve"> is subject to</w:t>
      </w:r>
      <w:r w:rsidR="00253726">
        <w:rPr>
          <w:rFonts w:ascii="Arial Black" w:hAnsi="Arial Black"/>
          <w:sz w:val="24"/>
          <w:szCs w:val="24"/>
        </w:rPr>
        <w:t xml:space="preserve"> all</w:t>
      </w:r>
      <w:r w:rsidR="0094033D">
        <w:rPr>
          <w:rFonts w:ascii="Arial Black" w:hAnsi="Arial Black"/>
          <w:sz w:val="24"/>
          <w:szCs w:val="24"/>
        </w:rPr>
        <w:t xml:space="preserve"> regulatory</w:t>
      </w:r>
      <w:r w:rsidR="00B66B44">
        <w:rPr>
          <w:rFonts w:ascii="Arial Black" w:hAnsi="Arial Black"/>
          <w:sz w:val="24"/>
          <w:szCs w:val="24"/>
        </w:rPr>
        <w:t xml:space="preserve"> reporting obligations</w:t>
      </w:r>
      <w:r w:rsidR="002065E9">
        <w:rPr>
          <w:rFonts w:ascii="Arial Black" w:hAnsi="Arial Black"/>
          <w:sz w:val="24"/>
          <w:szCs w:val="24"/>
        </w:rPr>
        <w:t xml:space="preserve"> </w:t>
      </w:r>
      <w:r w:rsidR="00B81793">
        <w:rPr>
          <w:rFonts w:ascii="Arial Black" w:hAnsi="Arial Black"/>
          <w:sz w:val="24"/>
          <w:szCs w:val="24"/>
        </w:rPr>
        <w:t>set out by SARB</w:t>
      </w:r>
      <w:r w:rsidR="00B66B44">
        <w:rPr>
          <w:rFonts w:ascii="Arial Black" w:hAnsi="Arial Black"/>
          <w:sz w:val="24"/>
          <w:szCs w:val="24"/>
        </w:rPr>
        <w:t xml:space="preserve"> under Basel III. </w:t>
      </w:r>
    </w:p>
    <w:p w:rsidR="002065E9" w:rsidRDefault="002065E9" w:rsidP="00DD00EF">
      <w:pPr>
        <w:pStyle w:val="NoSpacing"/>
        <w:jc w:val="both"/>
        <w:rPr>
          <w:rFonts w:ascii="Arial Black" w:hAnsi="Arial Black"/>
          <w:sz w:val="24"/>
          <w:szCs w:val="24"/>
        </w:rPr>
      </w:pPr>
    </w:p>
    <w:p w:rsidR="00F7397A" w:rsidRDefault="0094033D" w:rsidP="00DD00EF">
      <w:pPr>
        <w:pStyle w:val="NoSpacing"/>
        <w:jc w:val="both"/>
        <w:rPr>
          <w:rFonts w:ascii="Arial Black" w:hAnsi="Arial Black"/>
          <w:sz w:val="24"/>
          <w:szCs w:val="24"/>
        </w:rPr>
      </w:pPr>
      <w:r>
        <w:rPr>
          <w:rFonts w:ascii="Arial Black" w:hAnsi="Arial Black"/>
          <w:sz w:val="24"/>
          <w:szCs w:val="24"/>
        </w:rPr>
        <w:t>Members of the</w:t>
      </w:r>
      <w:r w:rsidR="00E05047">
        <w:rPr>
          <w:rFonts w:ascii="Arial Black" w:hAnsi="Arial Black"/>
          <w:sz w:val="24"/>
          <w:szCs w:val="24"/>
        </w:rPr>
        <w:t xml:space="preserve"> general</w:t>
      </w:r>
      <w:r>
        <w:rPr>
          <w:rFonts w:ascii="Arial Black" w:hAnsi="Arial Black"/>
          <w:sz w:val="24"/>
          <w:szCs w:val="24"/>
        </w:rPr>
        <w:t xml:space="preserve"> public may access</w:t>
      </w:r>
      <w:r w:rsidR="00E527C3">
        <w:rPr>
          <w:rFonts w:ascii="Arial Black" w:hAnsi="Arial Black"/>
          <w:sz w:val="24"/>
          <w:szCs w:val="24"/>
        </w:rPr>
        <w:t xml:space="preserve"> further comprehensive</w:t>
      </w:r>
      <w:r>
        <w:rPr>
          <w:rFonts w:ascii="Arial Black" w:hAnsi="Arial Black"/>
          <w:sz w:val="24"/>
          <w:szCs w:val="24"/>
        </w:rPr>
        <w:t xml:space="preserve"> information </w:t>
      </w:r>
      <w:r w:rsidR="00E527C3">
        <w:rPr>
          <w:rFonts w:ascii="Arial Black" w:hAnsi="Arial Black"/>
          <w:sz w:val="24"/>
          <w:szCs w:val="24"/>
        </w:rPr>
        <w:t xml:space="preserve">as </w:t>
      </w:r>
      <w:r>
        <w:rPr>
          <w:rFonts w:ascii="Arial Black" w:hAnsi="Arial Black"/>
          <w:sz w:val="24"/>
          <w:szCs w:val="24"/>
        </w:rPr>
        <w:t>contained in the</w:t>
      </w:r>
      <w:r w:rsidR="00E527C3">
        <w:rPr>
          <w:rFonts w:ascii="Arial Black" w:hAnsi="Arial Black"/>
          <w:sz w:val="24"/>
          <w:szCs w:val="24"/>
        </w:rPr>
        <w:t xml:space="preserve"> Citi</w:t>
      </w:r>
      <w:r>
        <w:rPr>
          <w:rFonts w:ascii="Arial Black" w:hAnsi="Arial Black"/>
          <w:sz w:val="24"/>
          <w:szCs w:val="24"/>
        </w:rPr>
        <w:t xml:space="preserve"> Annual Report, as well as view regulatory filings</w:t>
      </w:r>
      <w:r w:rsidR="00B81793">
        <w:rPr>
          <w:rFonts w:ascii="Arial Black" w:hAnsi="Arial Black"/>
          <w:sz w:val="24"/>
          <w:szCs w:val="24"/>
        </w:rPr>
        <w:t xml:space="preserve"> of Citi and the bank</w:t>
      </w:r>
      <w:r w:rsidR="00F7397A">
        <w:rPr>
          <w:rFonts w:ascii="Arial Black" w:hAnsi="Arial Black"/>
          <w:sz w:val="24"/>
          <w:szCs w:val="24"/>
        </w:rPr>
        <w:t xml:space="preserve"> by visiting </w:t>
      </w:r>
      <w:hyperlink r:id="rId7" w:history="1">
        <w:r w:rsidR="00F7397A" w:rsidRPr="0060137E">
          <w:rPr>
            <w:rStyle w:val="Hyperlink"/>
            <w:rFonts w:ascii="Arial Black" w:hAnsi="Arial Black"/>
            <w:sz w:val="24"/>
            <w:szCs w:val="24"/>
          </w:rPr>
          <w:t>www.citigroup.com</w:t>
        </w:r>
      </w:hyperlink>
    </w:p>
    <w:p w:rsidR="00DD00EF" w:rsidRDefault="00DD00EF" w:rsidP="00B31813">
      <w:pPr>
        <w:pStyle w:val="NoSpacing"/>
        <w:jc w:val="both"/>
        <w:rPr>
          <w:rFonts w:ascii="Arial Black" w:hAnsi="Arial Black"/>
          <w:sz w:val="24"/>
          <w:szCs w:val="24"/>
        </w:rPr>
      </w:pPr>
    </w:p>
    <w:p w:rsidR="00ED37AB" w:rsidRDefault="00ED37AB" w:rsidP="00ED37AB">
      <w:pPr>
        <w:pStyle w:val="NoSpacing"/>
        <w:jc w:val="both"/>
        <w:rPr>
          <w:rFonts w:ascii="Arial Black" w:hAnsi="Arial Black"/>
          <w:sz w:val="24"/>
          <w:szCs w:val="24"/>
        </w:rPr>
      </w:pPr>
      <w:r>
        <w:rPr>
          <w:rFonts w:ascii="Arial Black" w:hAnsi="Arial Black"/>
          <w:sz w:val="24"/>
          <w:szCs w:val="24"/>
        </w:rPr>
        <w:t>The following relevant</w:t>
      </w:r>
      <w:r w:rsidR="000E4DC4">
        <w:rPr>
          <w:rFonts w:ascii="Arial Black" w:hAnsi="Arial Black"/>
          <w:sz w:val="24"/>
          <w:szCs w:val="24"/>
        </w:rPr>
        <w:t xml:space="preserve"> Pillar 3</w:t>
      </w:r>
      <w:r w:rsidR="002065E9">
        <w:rPr>
          <w:rFonts w:ascii="Arial Black" w:hAnsi="Arial Black"/>
          <w:sz w:val="24"/>
          <w:szCs w:val="24"/>
        </w:rPr>
        <w:t xml:space="preserve"> public disclosure</w:t>
      </w:r>
      <w:r w:rsidR="00E05047">
        <w:rPr>
          <w:rFonts w:ascii="Arial Black" w:hAnsi="Arial Black"/>
          <w:sz w:val="24"/>
          <w:szCs w:val="24"/>
        </w:rPr>
        <w:t xml:space="preserve"> information is provided by Citibank, N.A. </w:t>
      </w:r>
      <w:r>
        <w:rPr>
          <w:rFonts w:ascii="Arial Black" w:hAnsi="Arial Black"/>
          <w:sz w:val="24"/>
          <w:szCs w:val="24"/>
        </w:rPr>
        <w:t>South Africa Branch, in terms of the</w:t>
      </w:r>
      <w:r w:rsidR="002065E9">
        <w:rPr>
          <w:rFonts w:ascii="Arial Black" w:hAnsi="Arial Black"/>
          <w:sz w:val="24"/>
          <w:szCs w:val="24"/>
        </w:rPr>
        <w:t xml:space="preserve"> </w:t>
      </w:r>
      <w:r>
        <w:rPr>
          <w:rFonts w:ascii="Arial Black" w:hAnsi="Arial Black"/>
          <w:sz w:val="24"/>
          <w:szCs w:val="24"/>
        </w:rPr>
        <w:t xml:space="preserve">provisions </w:t>
      </w:r>
      <w:r w:rsidR="002065E9">
        <w:rPr>
          <w:rFonts w:ascii="Arial Black" w:hAnsi="Arial Black"/>
          <w:sz w:val="24"/>
          <w:szCs w:val="24"/>
        </w:rPr>
        <w:t xml:space="preserve">contained in the </w:t>
      </w:r>
      <w:r>
        <w:rPr>
          <w:rFonts w:ascii="Arial Black" w:hAnsi="Arial Black"/>
          <w:sz w:val="24"/>
          <w:szCs w:val="24"/>
        </w:rPr>
        <w:t>Regulations relating to Banks.</w:t>
      </w:r>
      <w:r w:rsidR="002065E9">
        <w:rPr>
          <w:rFonts w:ascii="Arial Black" w:hAnsi="Arial Black"/>
          <w:sz w:val="24"/>
          <w:szCs w:val="24"/>
        </w:rPr>
        <w:t xml:space="preserve"> </w:t>
      </w:r>
      <w:r w:rsidR="000E4DC4">
        <w:rPr>
          <w:rFonts w:ascii="Arial Black" w:hAnsi="Arial Black"/>
          <w:sz w:val="24"/>
          <w:szCs w:val="24"/>
        </w:rPr>
        <w:t xml:space="preserve">This information is consistent with information reported to the SARB. </w:t>
      </w:r>
      <w:r w:rsidR="002065E9">
        <w:rPr>
          <w:rFonts w:ascii="Arial Black" w:hAnsi="Arial Black"/>
          <w:sz w:val="24"/>
          <w:szCs w:val="24"/>
        </w:rPr>
        <w:t>Further selective information on the monthly filings by the</w:t>
      </w:r>
      <w:r w:rsidR="00E05047">
        <w:rPr>
          <w:rFonts w:ascii="Arial Black" w:hAnsi="Arial Black"/>
          <w:sz w:val="24"/>
          <w:szCs w:val="24"/>
        </w:rPr>
        <w:t xml:space="preserve"> local</w:t>
      </w:r>
      <w:r w:rsidR="002065E9">
        <w:rPr>
          <w:rFonts w:ascii="Arial Black" w:hAnsi="Arial Black"/>
          <w:sz w:val="24"/>
          <w:szCs w:val="24"/>
        </w:rPr>
        <w:t xml:space="preserve"> branch</w:t>
      </w:r>
      <w:r w:rsidR="00E05047">
        <w:rPr>
          <w:rFonts w:ascii="Arial Black" w:hAnsi="Arial Black"/>
          <w:sz w:val="24"/>
          <w:szCs w:val="24"/>
        </w:rPr>
        <w:t xml:space="preserve"> to the SARB</w:t>
      </w:r>
      <w:r w:rsidR="002065E9">
        <w:rPr>
          <w:rFonts w:ascii="Arial Black" w:hAnsi="Arial Black"/>
          <w:sz w:val="24"/>
          <w:szCs w:val="24"/>
        </w:rPr>
        <w:t xml:space="preserve"> may be obtained </w:t>
      </w:r>
      <w:r w:rsidR="00E05047">
        <w:rPr>
          <w:rFonts w:ascii="Arial Black" w:hAnsi="Arial Black"/>
          <w:sz w:val="24"/>
          <w:szCs w:val="24"/>
        </w:rPr>
        <w:t xml:space="preserve">by visiting </w:t>
      </w:r>
      <w:hyperlink r:id="rId8" w:history="1">
        <w:r w:rsidR="00F7397A" w:rsidRPr="0060137E">
          <w:rPr>
            <w:rStyle w:val="Hyperlink"/>
            <w:rFonts w:ascii="Arial Black" w:hAnsi="Arial Black"/>
            <w:sz w:val="24"/>
            <w:szCs w:val="24"/>
          </w:rPr>
          <w:t>www.resbank.co.za</w:t>
        </w:r>
      </w:hyperlink>
    </w:p>
    <w:p w:rsidR="00F7397A" w:rsidRDefault="00F7397A" w:rsidP="00ED37AB">
      <w:pPr>
        <w:pStyle w:val="NoSpacing"/>
        <w:jc w:val="both"/>
        <w:rPr>
          <w:rFonts w:ascii="Arial Black" w:hAnsi="Arial Black"/>
          <w:sz w:val="24"/>
          <w:szCs w:val="24"/>
        </w:rPr>
      </w:pPr>
    </w:p>
    <w:p w:rsidR="00B66B44" w:rsidRDefault="00B66B44" w:rsidP="00ED37AB">
      <w:pPr>
        <w:pStyle w:val="NoSpacing"/>
        <w:jc w:val="both"/>
        <w:rPr>
          <w:rFonts w:ascii="Arial Black" w:hAnsi="Arial Black"/>
          <w:sz w:val="24"/>
          <w:szCs w:val="24"/>
        </w:rPr>
      </w:pPr>
    </w:p>
    <w:p w:rsidR="00B03206" w:rsidRDefault="00E05047" w:rsidP="00B31813">
      <w:pPr>
        <w:pStyle w:val="NoSpacing"/>
        <w:jc w:val="both"/>
        <w:rPr>
          <w:rFonts w:ascii="Arial Black" w:hAnsi="Arial Black"/>
          <w:sz w:val="24"/>
          <w:szCs w:val="24"/>
        </w:rPr>
      </w:pPr>
      <w:r>
        <w:rPr>
          <w:rFonts w:ascii="Arial Black" w:hAnsi="Arial Black"/>
          <w:sz w:val="24"/>
          <w:szCs w:val="24"/>
        </w:rPr>
        <w:t>This document discloses salient</w:t>
      </w:r>
      <w:r w:rsidR="00B03206">
        <w:rPr>
          <w:rFonts w:ascii="Arial Black" w:hAnsi="Arial Black"/>
          <w:sz w:val="24"/>
          <w:szCs w:val="24"/>
        </w:rPr>
        <w:t xml:space="preserve"> qualitative and quantitative information</w:t>
      </w:r>
      <w:r w:rsidR="00B81793">
        <w:rPr>
          <w:rFonts w:ascii="Arial Black" w:hAnsi="Arial Black"/>
          <w:sz w:val="24"/>
          <w:szCs w:val="24"/>
        </w:rPr>
        <w:t xml:space="preserve"> of Citibank, N.A. South Africa Branch</w:t>
      </w:r>
      <w:r w:rsidR="00B03206">
        <w:rPr>
          <w:rFonts w:ascii="Arial Black" w:hAnsi="Arial Black"/>
          <w:sz w:val="24"/>
          <w:szCs w:val="24"/>
        </w:rPr>
        <w:t xml:space="preserve"> pertaining to;</w:t>
      </w:r>
    </w:p>
    <w:p w:rsidR="00B03206" w:rsidRDefault="00B03206" w:rsidP="00B31813">
      <w:pPr>
        <w:pStyle w:val="NoSpacing"/>
        <w:jc w:val="both"/>
        <w:rPr>
          <w:rFonts w:ascii="Arial Black" w:hAnsi="Arial Black"/>
          <w:sz w:val="24"/>
          <w:szCs w:val="24"/>
        </w:rPr>
      </w:pPr>
    </w:p>
    <w:p w:rsidR="00E05047" w:rsidRDefault="00B03206" w:rsidP="00B03206">
      <w:pPr>
        <w:pStyle w:val="NoSpacing"/>
        <w:numPr>
          <w:ilvl w:val="0"/>
          <w:numId w:val="1"/>
        </w:numPr>
        <w:jc w:val="both"/>
        <w:rPr>
          <w:rFonts w:ascii="Arial Black" w:hAnsi="Arial Black"/>
          <w:sz w:val="24"/>
          <w:szCs w:val="24"/>
        </w:rPr>
      </w:pPr>
      <w:r>
        <w:rPr>
          <w:rFonts w:ascii="Arial Black" w:hAnsi="Arial Black"/>
          <w:sz w:val="24"/>
          <w:szCs w:val="24"/>
        </w:rPr>
        <w:t>Capital</w:t>
      </w:r>
    </w:p>
    <w:p w:rsidR="00B03206" w:rsidRDefault="00B03206" w:rsidP="00B03206">
      <w:pPr>
        <w:pStyle w:val="NoSpacing"/>
        <w:numPr>
          <w:ilvl w:val="0"/>
          <w:numId w:val="1"/>
        </w:numPr>
        <w:jc w:val="both"/>
        <w:rPr>
          <w:rFonts w:ascii="Arial Black" w:hAnsi="Arial Black"/>
          <w:sz w:val="24"/>
          <w:szCs w:val="24"/>
        </w:rPr>
      </w:pPr>
      <w:r>
        <w:rPr>
          <w:rFonts w:ascii="Arial Black" w:hAnsi="Arial Black"/>
          <w:sz w:val="24"/>
          <w:szCs w:val="24"/>
        </w:rPr>
        <w:t>Credit risk</w:t>
      </w:r>
    </w:p>
    <w:p w:rsidR="00B03206" w:rsidRDefault="00B03206" w:rsidP="00B03206">
      <w:pPr>
        <w:pStyle w:val="NoSpacing"/>
        <w:numPr>
          <w:ilvl w:val="0"/>
          <w:numId w:val="1"/>
        </w:numPr>
        <w:jc w:val="both"/>
        <w:rPr>
          <w:rFonts w:ascii="Arial Black" w:hAnsi="Arial Black"/>
          <w:sz w:val="24"/>
          <w:szCs w:val="24"/>
        </w:rPr>
      </w:pPr>
      <w:r>
        <w:rPr>
          <w:rFonts w:ascii="Arial Black" w:hAnsi="Arial Black"/>
          <w:sz w:val="24"/>
          <w:szCs w:val="24"/>
        </w:rPr>
        <w:t>Market risk</w:t>
      </w:r>
    </w:p>
    <w:p w:rsidR="00B03206" w:rsidRDefault="00B03206" w:rsidP="00B03206">
      <w:pPr>
        <w:pStyle w:val="NoSpacing"/>
        <w:numPr>
          <w:ilvl w:val="0"/>
          <w:numId w:val="1"/>
        </w:numPr>
        <w:jc w:val="both"/>
        <w:rPr>
          <w:rFonts w:ascii="Arial Black" w:hAnsi="Arial Black"/>
          <w:sz w:val="24"/>
          <w:szCs w:val="24"/>
        </w:rPr>
      </w:pPr>
      <w:r>
        <w:rPr>
          <w:rFonts w:ascii="Arial Black" w:hAnsi="Arial Black"/>
          <w:sz w:val="24"/>
          <w:szCs w:val="24"/>
        </w:rPr>
        <w:t>Liquidity risk</w:t>
      </w:r>
    </w:p>
    <w:p w:rsidR="00B03206" w:rsidRDefault="00B03206" w:rsidP="00B03206">
      <w:pPr>
        <w:pStyle w:val="NoSpacing"/>
        <w:numPr>
          <w:ilvl w:val="0"/>
          <w:numId w:val="1"/>
        </w:numPr>
        <w:jc w:val="both"/>
        <w:rPr>
          <w:rFonts w:ascii="Arial Black" w:hAnsi="Arial Black"/>
          <w:sz w:val="24"/>
          <w:szCs w:val="24"/>
        </w:rPr>
      </w:pPr>
      <w:r>
        <w:rPr>
          <w:rFonts w:ascii="Arial Black" w:hAnsi="Arial Black"/>
          <w:sz w:val="24"/>
          <w:szCs w:val="24"/>
        </w:rPr>
        <w:t>Operational risk</w:t>
      </w:r>
    </w:p>
    <w:p w:rsidR="00B03206" w:rsidRDefault="00B03206" w:rsidP="00B03206">
      <w:pPr>
        <w:pStyle w:val="NoSpacing"/>
        <w:numPr>
          <w:ilvl w:val="0"/>
          <w:numId w:val="1"/>
        </w:numPr>
        <w:jc w:val="both"/>
        <w:rPr>
          <w:rFonts w:ascii="Arial Black" w:hAnsi="Arial Black"/>
          <w:sz w:val="24"/>
          <w:szCs w:val="24"/>
        </w:rPr>
      </w:pPr>
      <w:r>
        <w:rPr>
          <w:rFonts w:ascii="Arial Black" w:hAnsi="Arial Black"/>
          <w:sz w:val="24"/>
          <w:szCs w:val="24"/>
        </w:rPr>
        <w:t xml:space="preserve">Remuneration policy </w:t>
      </w:r>
    </w:p>
    <w:p w:rsidR="00E05047" w:rsidRDefault="00E05047" w:rsidP="00B31813">
      <w:pPr>
        <w:pStyle w:val="NoSpacing"/>
        <w:jc w:val="both"/>
        <w:rPr>
          <w:rFonts w:ascii="Arial Black" w:hAnsi="Arial Black"/>
          <w:sz w:val="24"/>
          <w:szCs w:val="24"/>
        </w:rPr>
      </w:pPr>
    </w:p>
    <w:p w:rsidR="00B03206" w:rsidRDefault="00B03206" w:rsidP="00B31813">
      <w:pPr>
        <w:pStyle w:val="NoSpacing"/>
        <w:jc w:val="both"/>
        <w:rPr>
          <w:rFonts w:ascii="Arial Black" w:hAnsi="Arial Black"/>
          <w:sz w:val="24"/>
          <w:szCs w:val="24"/>
        </w:rPr>
      </w:pPr>
    </w:p>
    <w:p w:rsidR="00B03206" w:rsidRPr="00B03206" w:rsidRDefault="00BD038B" w:rsidP="00B31813">
      <w:pPr>
        <w:pStyle w:val="NoSpacing"/>
        <w:jc w:val="both"/>
        <w:rPr>
          <w:rFonts w:ascii="Arial Black" w:hAnsi="Arial Black"/>
          <w:b/>
          <w:sz w:val="24"/>
          <w:szCs w:val="24"/>
          <w:u w:val="single"/>
        </w:rPr>
      </w:pPr>
      <w:r>
        <w:rPr>
          <w:rFonts w:ascii="Arial Black" w:hAnsi="Arial Black"/>
          <w:b/>
          <w:sz w:val="24"/>
          <w:szCs w:val="24"/>
          <w:u w:val="single"/>
        </w:rPr>
        <w:t xml:space="preserve">I. </w:t>
      </w:r>
      <w:r w:rsidR="00B03206" w:rsidRPr="00B03206">
        <w:rPr>
          <w:rFonts w:ascii="Arial Black" w:hAnsi="Arial Black"/>
          <w:b/>
          <w:sz w:val="24"/>
          <w:szCs w:val="24"/>
          <w:u w:val="single"/>
        </w:rPr>
        <w:t>Capital</w:t>
      </w:r>
    </w:p>
    <w:p w:rsidR="00B03206" w:rsidRDefault="00B03206" w:rsidP="00B31813">
      <w:pPr>
        <w:pStyle w:val="NoSpacing"/>
        <w:jc w:val="both"/>
        <w:rPr>
          <w:rFonts w:ascii="Arial Black" w:hAnsi="Arial Black"/>
          <w:sz w:val="24"/>
          <w:szCs w:val="24"/>
        </w:rPr>
      </w:pPr>
    </w:p>
    <w:p w:rsidR="00B31813" w:rsidRDefault="00E05047" w:rsidP="00B31813">
      <w:pPr>
        <w:pStyle w:val="NoSpacing"/>
        <w:jc w:val="both"/>
        <w:rPr>
          <w:rFonts w:ascii="Arial Black" w:hAnsi="Arial Black"/>
          <w:sz w:val="24"/>
          <w:szCs w:val="24"/>
        </w:rPr>
      </w:pPr>
      <w:r>
        <w:rPr>
          <w:rFonts w:ascii="Arial Black" w:hAnsi="Arial Black"/>
          <w:sz w:val="24"/>
          <w:szCs w:val="24"/>
        </w:rPr>
        <w:t>The table</w:t>
      </w:r>
      <w:r w:rsidR="00CE7C8D">
        <w:rPr>
          <w:rFonts w:ascii="Arial Black" w:hAnsi="Arial Black"/>
          <w:sz w:val="24"/>
          <w:szCs w:val="24"/>
        </w:rPr>
        <w:t>s</w:t>
      </w:r>
      <w:r>
        <w:rPr>
          <w:rFonts w:ascii="Arial Black" w:hAnsi="Arial Black"/>
          <w:sz w:val="24"/>
          <w:szCs w:val="24"/>
        </w:rPr>
        <w:t xml:space="preserve"> below illustrate the c</w:t>
      </w:r>
      <w:r w:rsidR="00B03206">
        <w:rPr>
          <w:rFonts w:ascii="Arial Black" w:hAnsi="Arial Black"/>
          <w:sz w:val="24"/>
          <w:szCs w:val="24"/>
        </w:rPr>
        <w:t>omposition of the branch</w:t>
      </w:r>
      <w:r w:rsidR="00CE7C8D">
        <w:rPr>
          <w:rFonts w:ascii="Arial Black" w:hAnsi="Arial Black"/>
          <w:sz w:val="24"/>
          <w:szCs w:val="24"/>
        </w:rPr>
        <w:t xml:space="preserve"> qualifying</w:t>
      </w:r>
      <w:r w:rsidR="00B03206">
        <w:rPr>
          <w:rFonts w:ascii="Arial Black" w:hAnsi="Arial Black"/>
          <w:sz w:val="24"/>
          <w:szCs w:val="24"/>
        </w:rPr>
        <w:t xml:space="preserve"> capital</w:t>
      </w:r>
      <w:r w:rsidR="00CE7C8D">
        <w:rPr>
          <w:rFonts w:ascii="Arial Black" w:hAnsi="Arial Black"/>
          <w:sz w:val="24"/>
          <w:szCs w:val="24"/>
        </w:rPr>
        <w:t>, the risk weighted asset components</w:t>
      </w:r>
      <w:r w:rsidR="00B03206">
        <w:rPr>
          <w:rFonts w:ascii="Arial Black" w:hAnsi="Arial Black"/>
          <w:sz w:val="24"/>
          <w:szCs w:val="24"/>
        </w:rPr>
        <w:t xml:space="preserve"> and the related capital adequacy ratios:</w:t>
      </w:r>
    </w:p>
    <w:p w:rsidR="00B03206" w:rsidRDefault="00B03206" w:rsidP="00B31813">
      <w:pPr>
        <w:pStyle w:val="NoSpacing"/>
        <w:jc w:val="both"/>
        <w:rPr>
          <w:rFonts w:ascii="Arial Black" w:hAnsi="Arial Black"/>
          <w:sz w:val="24"/>
          <w:szCs w:val="24"/>
        </w:rPr>
      </w:pPr>
    </w:p>
    <w:p w:rsidR="00B03206" w:rsidRDefault="00B03206" w:rsidP="00B31813">
      <w:pPr>
        <w:pStyle w:val="NoSpacing"/>
        <w:jc w:val="both"/>
        <w:rPr>
          <w:rFonts w:ascii="Arial Black" w:hAnsi="Arial Black"/>
          <w:sz w:val="24"/>
          <w:szCs w:val="24"/>
        </w:rPr>
      </w:pPr>
    </w:p>
    <w:tbl>
      <w:tblPr>
        <w:tblStyle w:val="TableGrid"/>
        <w:tblW w:w="0" w:type="auto"/>
        <w:tblLook w:val="04A0" w:firstRow="1" w:lastRow="0" w:firstColumn="1" w:lastColumn="0" w:noHBand="0" w:noVBand="1"/>
      </w:tblPr>
      <w:tblGrid>
        <w:gridCol w:w="7054"/>
        <w:gridCol w:w="2188"/>
      </w:tblGrid>
      <w:tr w:rsidR="00CE7C8D" w:rsidTr="001D38ED">
        <w:tc>
          <w:tcPr>
            <w:tcW w:w="7054" w:type="dxa"/>
            <w:shd w:val="clear" w:color="auto" w:fill="C6D9F1" w:themeFill="text2" w:themeFillTint="33"/>
          </w:tcPr>
          <w:p w:rsidR="00CE7C8D" w:rsidRDefault="001D38ED" w:rsidP="00B31813">
            <w:pPr>
              <w:pStyle w:val="NoSpacing"/>
              <w:jc w:val="both"/>
              <w:rPr>
                <w:rFonts w:ascii="Arial Black" w:hAnsi="Arial Black"/>
                <w:sz w:val="24"/>
                <w:szCs w:val="24"/>
              </w:rPr>
            </w:pPr>
            <w:r>
              <w:rPr>
                <w:rFonts w:ascii="Arial Black" w:hAnsi="Arial Black"/>
                <w:sz w:val="24"/>
                <w:szCs w:val="24"/>
              </w:rPr>
              <w:t xml:space="preserve">Capital components </w:t>
            </w:r>
            <w:r w:rsidR="00CE7C8D">
              <w:rPr>
                <w:rFonts w:ascii="Arial Black" w:hAnsi="Arial Black"/>
                <w:sz w:val="24"/>
                <w:szCs w:val="24"/>
              </w:rPr>
              <w:t>ZAR ‘000</w:t>
            </w:r>
          </w:p>
        </w:tc>
        <w:tc>
          <w:tcPr>
            <w:tcW w:w="2188" w:type="dxa"/>
            <w:shd w:val="clear" w:color="auto" w:fill="C6D9F1" w:themeFill="text2" w:themeFillTint="33"/>
          </w:tcPr>
          <w:p w:rsidR="00CE7C8D" w:rsidRPr="00CE7C8D" w:rsidRDefault="00CE7C8D" w:rsidP="00B31813">
            <w:pPr>
              <w:pStyle w:val="NoSpacing"/>
              <w:jc w:val="both"/>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CE7C8D">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31 Dec 2014</w:t>
            </w:r>
          </w:p>
        </w:tc>
      </w:tr>
      <w:tr w:rsidR="00CE7C8D" w:rsidTr="00CE7C8D">
        <w:tc>
          <w:tcPr>
            <w:tcW w:w="7054" w:type="dxa"/>
          </w:tcPr>
          <w:p w:rsidR="00CE7C8D" w:rsidRPr="000E4DC4" w:rsidRDefault="00CE7C8D" w:rsidP="00B31813">
            <w:pPr>
              <w:pStyle w:val="NoSpacing"/>
              <w:jc w:val="both"/>
              <w:rPr>
                <w:rFonts w:ascii="Arial Black" w:hAnsi="Arial Black"/>
                <w:sz w:val="24"/>
                <w:szCs w:val="24"/>
              </w:rPr>
            </w:pPr>
            <w:r w:rsidRPr="000E4DC4">
              <w:rPr>
                <w:rFonts w:ascii="Arial Black" w:hAnsi="Arial Black"/>
                <w:sz w:val="24"/>
                <w:szCs w:val="24"/>
              </w:rPr>
              <w:t>Endowment capital</w:t>
            </w:r>
          </w:p>
        </w:tc>
        <w:tc>
          <w:tcPr>
            <w:tcW w:w="2188" w:type="dxa"/>
          </w:tcPr>
          <w:p w:rsidR="00CE7C8D" w:rsidRDefault="005A1538" w:rsidP="00B31813">
            <w:pPr>
              <w:pStyle w:val="NoSpacing"/>
              <w:jc w:val="both"/>
              <w:rPr>
                <w:rFonts w:ascii="Arial Black" w:hAnsi="Arial Black"/>
                <w:sz w:val="24"/>
                <w:szCs w:val="24"/>
              </w:rPr>
            </w:pPr>
            <w:r>
              <w:rPr>
                <w:rFonts w:ascii="Arial Black" w:hAnsi="Arial Black"/>
                <w:sz w:val="24"/>
                <w:szCs w:val="24"/>
              </w:rPr>
              <w:t>2 591 002</w:t>
            </w:r>
          </w:p>
        </w:tc>
      </w:tr>
      <w:tr w:rsidR="00CE7C8D" w:rsidTr="00CE7C8D">
        <w:tc>
          <w:tcPr>
            <w:tcW w:w="7054" w:type="dxa"/>
          </w:tcPr>
          <w:p w:rsidR="00CE7C8D" w:rsidRPr="000E4DC4" w:rsidRDefault="00EF0B06" w:rsidP="00EF0B06">
            <w:pPr>
              <w:pStyle w:val="NoSpacing"/>
              <w:jc w:val="both"/>
              <w:rPr>
                <w:rFonts w:ascii="Arial Black" w:hAnsi="Arial Black"/>
                <w:sz w:val="24"/>
                <w:szCs w:val="24"/>
              </w:rPr>
            </w:pPr>
            <w:r>
              <w:rPr>
                <w:rFonts w:ascii="Arial Black" w:hAnsi="Arial Black"/>
                <w:sz w:val="24"/>
                <w:szCs w:val="24"/>
              </w:rPr>
              <w:t>R</w:t>
            </w:r>
            <w:r w:rsidR="00CE7C8D" w:rsidRPr="000E4DC4">
              <w:rPr>
                <w:rFonts w:ascii="Arial Black" w:hAnsi="Arial Black"/>
                <w:sz w:val="24"/>
                <w:szCs w:val="24"/>
              </w:rPr>
              <w:t>eserve</w:t>
            </w:r>
            <w:r>
              <w:rPr>
                <w:rFonts w:ascii="Arial Black" w:hAnsi="Arial Black"/>
                <w:sz w:val="24"/>
                <w:szCs w:val="24"/>
              </w:rPr>
              <w:t xml:space="preserve"> funds</w:t>
            </w:r>
          </w:p>
        </w:tc>
        <w:tc>
          <w:tcPr>
            <w:tcW w:w="2188" w:type="dxa"/>
          </w:tcPr>
          <w:p w:rsidR="00CE7C8D" w:rsidRDefault="005A1538" w:rsidP="00B31813">
            <w:pPr>
              <w:pStyle w:val="NoSpacing"/>
              <w:jc w:val="both"/>
              <w:rPr>
                <w:rFonts w:ascii="Arial Black" w:hAnsi="Arial Black"/>
                <w:sz w:val="24"/>
                <w:szCs w:val="24"/>
              </w:rPr>
            </w:pPr>
            <w:r>
              <w:rPr>
                <w:rFonts w:ascii="Arial Black" w:hAnsi="Arial Black"/>
                <w:sz w:val="24"/>
                <w:szCs w:val="24"/>
              </w:rPr>
              <w:t>2 551 543</w:t>
            </w:r>
          </w:p>
        </w:tc>
      </w:tr>
      <w:tr w:rsidR="00CE7C8D" w:rsidTr="00CE7C8D">
        <w:tc>
          <w:tcPr>
            <w:tcW w:w="7054" w:type="dxa"/>
          </w:tcPr>
          <w:p w:rsidR="00CE7C8D" w:rsidRDefault="00AE004C" w:rsidP="00B31813">
            <w:pPr>
              <w:pStyle w:val="NoSpacing"/>
              <w:jc w:val="both"/>
              <w:rPr>
                <w:rFonts w:ascii="Arial Black" w:hAnsi="Arial Black"/>
                <w:sz w:val="24"/>
                <w:szCs w:val="24"/>
              </w:rPr>
            </w:pPr>
            <w:r>
              <w:rPr>
                <w:rFonts w:ascii="Arial Black" w:hAnsi="Arial Black"/>
                <w:sz w:val="24"/>
                <w:szCs w:val="24"/>
              </w:rPr>
              <w:t>Total Tier I capital</w:t>
            </w:r>
          </w:p>
        </w:tc>
        <w:tc>
          <w:tcPr>
            <w:tcW w:w="2188" w:type="dxa"/>
          </w:tcPr>
          <w:p w:rsidR="00CE7C8D" w:rsidRDefault="005A1538" w:rsidP="00B31813">
            <w:pPr>
              <w:pStyle w:val="NoSpacing"/>
              <w:jc w:val="both"/>
              <w:rPr>
                <w:rFonts w:ascii="Arial Black" w:hAnsi="Arial Black"/>
                <w:sz w:val="24"/>
                <w:szCs w:val="24"/>
              </w:rPr>
            </w:pPr>
            <w:r>
              <w:rPr>
                <w:rFonts w:ascii="Arial Black" w:hAnsi="Arial Black"/>
                <w:sz w:val="24"/>
                <w:szCs w:val="24"/>
              </w:rPr>
              <w:t>4 907 383</w:t>
            </w:r>
          </w:p>
        </w:tc>
      </w:tr>
      <w:tr w:rsidR="00CE7C8D" w:rsidTr="00CE7C8D">
        <w:tc>
          <w:tcPr>
            <w:tcW w:w="7054" w:type="dxa"/>
          </w:tcPr>
          <w:p w:rsidR="00CE7C8D" w:rsidRDefault="008A1385" w:rsidP="00B31813">
            <w:pPr>
              <w:pStyle w:val="NoSpacing"/>
              <w:jc w:val="both"/>
              <w:rPr>
                <w:rFonts w:ascii="Arial Black" w:hAnsi="Arial Black"/>
                <w:sz w:val="24"/>
                <w:szCs w:val="24"/>
              </w:rPr>
            </w:pPr>
            <w:r>
              <w:rPr>
                <w:rFonts w:ascii="Arial Black" w:hAnsi="Arial Black"/>
                <w:sz w:val="24"/>
                <w:szCs w:val="24"/>
              </w:rPr>
              <w:t xml:space="preserve">Total </w:t>
            </w:r>
            <w:r w:rsidR="00AE004C">
              <w:rPr>
                <w:rFonts w:ascii="Arial Black" w:hAnsi="Arial Black"/>
                <w:sz w:val="24"/>
                <w:szCs w:val="24"/>
              </w:rPr>
              <w:t>Tier II capital</w:t>
            </w:r>
          </w:p>
        </w:tc>
        <w:tc>
          <w:tcPr>
            <w:tcW w:w="2188" w:type="dxa"/>
          </w:tcPr>
          <w:p w:rsidR="00CE7C8D" w:rsidRDefault="005A1538" w:rsidP="00B31813">
            <w:pPr>
              <w:pStyle w:val="NoSpacing"/>
              <w:jc w:val="both"/>
              <w:rPr>
                <w:rFonts w:ascii="Arial Black" w:hAnsi="Arial Black"/>
                <w:sz w:val="24"/>
                <w:szCs w:val="24"/>
              </w:rPr>
            </w:pPr>
            <w:r>
              <w:rPr>
                <w:rFonts w:ascii="Arial Black" w:hAnsi="Arial Black"/>
                <w:sz w:val="24"/>
                <w:szCs w:val="24"/>
              </w:rPr>
              <w:t>126 922</w:t>
            </w:r>
          </w:p>
        </w:tc>
      </w:tr>
      <w:tr w:rsidR="00CE7C8D" w:rsidTr="00CE7C8D">
        <w:tc>
          <w:tcPr>
            <w:tcW w:w="7054" w:type="dxa"/>
          </w:tcPr>
          <w:p w:rsidR="00CE7C8D" w:rsidRDefault="00CE7C8D" w:rsidP="00B31813">
            <w:pPr>
              <w:pStyle w:val="NoSpacing"/>
              <w:jc w:val="both"/>
              <w:rPr>
                <w:rFonts w:ascii="Arial Black" w:hAnsi="Arial Black"/>
                <w:sz w:val="24"/>
                <w:szCs w:val="24"/>
              </w:rPr>
            </w:pPr>
            <w:r>
              <w:rPr>
                <w:rFonts w:ascii="Arial Black" w:hAnsi="Arial Black"/>
                <w:sz w:val="24"/>
                <w:szCs w:val="24"/>
              </w:rPr>
              <w:t>Total qualifying capital and reserves</w:t>
            </w:r>
          </w:p>
        </w:tc>
        <w:tc>
          <w:tcPr>
            <w:tcW w:w="2188" w:type="dxa"/>
          </w:tcPr>
          <w:p w:rsidR="00CE7C8D" w:rsidRDefault="005A1538" w:rsidP="00B31813">
            <w:pPr>
              <w:pStyle w:val="NoSpacing"/>
              <w:jc w:val="both"/>
              <w:rPr>
                <w:rFonts w:ascii="Arial Black" w:hAnsi="Arial Black"/>
                <w:sz w:val="24"/>
                <w:szCs w:val="24"/>
              </w:rPr>
            </w:pPr>
            <w:r>
              <w:rPr>
                <w:rFonts w:ascii="Arial Black" w:hAnsi="Arial Black"/>
                <w:sz w:val="24"/>
                <w:szCs w:val="24"/>
              </w:rPr>
              <w:t>5 034 305</w:t>
            </w:r>
          </w:p>
        </w:tc>
      </w:tr>
    </w:tbl>
    <w:p w:rsidR="00B03206" w:rsidRDefault="00B03206" w:rsidP="00B31813">
      <w:pPr>
        <w:pStyle w:val="NoSpacing"/>
        <w:jc w:val="both"/>
        <w:rPr>
          <w:rFonts w:ascii="Arial Black" w:hAnsi="Arial Black"/>
          <w:sz w:val="24"/>
          <w:szCs w:val="24"/>
        </w:rPr>
      </w:pPr>
    </w:p>
    <w:p w:rsidR="00CE7C8D" w:rsidRDefault="00CE7C8D" w:rsidP="00B31813">
      <w:pPr>
        <w:pStyle w:val="NoSpacing"/>
        <w:jc w:val="both"/>
        <w:rPr>
          <w:rFonts w:ascii="Arial Black" w:hAnsi="Arial Black"/>
          <w:sz w:val="24"/>
          <w:szCs w:val="24"/>
        </w:rPr>
      </w:pPr>
    </w:p>
    <w:tbl>
      <w:tblPr>
        <w:tblStyle w:val="TableGrid"/>
        <w:tblW w:w="0" w:type="auto"/>
        <w:tblLook w:val="04A0" w:firstRow="1" w:lastRow="0" w:firstColumn="1" w:lastColumn="0" w:noHBand="0" w:noVBand="1"/>
      </w:tblPr>
      <w:tblGrid>
        <w:gridCol w:w="7054"/>
        <w:gridCol w:w="2188"/>
      </w:tblGrid>
      <w:tr w:rsidR="00CE7C8D" w:rsidTr="001D38ED">
        <w:tc>
          <w:tcPr>
            <w:tcW w:w="7054" w:type="dxa"/>
            <w:shd w:val="clear" w:color="auto" w:fill="C6D9F1" w:themeFill="text2" w:themeFillTint="33"/>
          </w:tcPr>
          <w:p w:rsidR="00CE7C8D" w:rsidRPr="001D38ED" w:rsidRDefault="000E4DC4" w:rsidP="00B31813">
            <w:pPr>
              <w:pStyle w:val="NoSpacing"/>
              <w:jc w:val="both"/>
              <w:rPr>
                <w:rFonts w:ascii="Arial Black" w:hAnsi="Arial Black"/>
                <w:sz w:val="24"/>
                <w:szCs w:val="24"/>
              </w:rPr>
            </w:pPr>
            <w:r w:rsidRPr="001D38ED">
              <w:rPr>
                <w:rFonts w:ascii="Arial Black" w:hAnsi="Arial Black"/>
                <w:sz w:val="24"/>
                <w:szCs w:val="24"/>
              </w:rPr>
              <w:t>Risk weighted Assets – ZAR ‘000</w:t>
            </w:r>
          </w:p>
        </w:tc>
        <w:tc>
          <w:tcPr>
            <w:tcW w:w="2188" w:type="dxa"/>
            <w:shd w:val="clear" w:color="auto" w:fill="C6D9F1" w:themeFill="text2" w:themeFillTint="33"/>
          </w:tcPr>
          <w:p w:rsidR="00CE7C8D" w:rsidRDefault="000E4DC4" w:rsidP="00B31813">
            <w:pPr>
              <w:pStyle w:val="NoSpacing"/>
              <w:jc w:val="both"/>
              <w:rPr>
                <w:rFonts w:ascii="Arial Black" w:hAnsi="Arial Black"/>
                <w:sz w:val="24"/>
                <w:szCs w:val="24"/>
              </w:rPr>
            </w:pPr>
            <w:r w:rsidRPr="00CE7C8D">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31 Dec 2014</w:t>
            </w:r>
          </w:p>
        </w:tc>
      </w:tr>
      <w:tr w:rsidR="00CE7C8D" w:rsidTr="00CE7C8D">
        <w:tc>
          <w:tcPr>
            <w:tcW w:w="7054" w:type="dxa"/>
          </w:tcPr>
          <w:p w:rsidR="00CE7C8D" w:rsidRDefault="000E4DC4" w:rsidP="00B31813">
            <w:pPr>
              <w:pStyle w:val="NoSpacing"/>
              <w:jc w:val="both"/>
              <w:rPr>
                <w:rFonts w:ascii="Arial Black" w:hAnsi="Arial Black"/>
                <w:sz w:val="24"/>
                <w:szCs w:val="24"/>
              </w:rPr>
            </w:pPr>
            <w:r>
              <w:rPr>
                <w:rFonts w:ascii="Arial Black" w:hAnsi="Arial Black"/>
                <w:sz w:val="24"/>
                <w:szCs w:val="24"/>
              </w:rPr>
              <w:t>Credit risk</w:t>
            </w:r>
          </w:p>
        </w:tc>
        <w:tc>
          <w:tcPr>
            <w:tcW w:w="2188" w:type="dxa"/>
          </w:tcPr>
          <w:p w:rsidR="00CE7C8D" w:rsidRDefault="005A1538" w:rsidP="00B31813">
            <w:pPr>
              <w:pStyle w:val="NoSpacing"/>
              <w:jc w:val="both"/>
              <w:rPr>
                <w:rFonts w:ascii="Arial Black" w:hAnsi="Arial Black"/>
                <w:sz w:val="24"/>
                <w:szCs w:val="24"/>
              </w:rPr>
            </w:pPr>
            <w:r>
              <w:rPr>
                <w:rFonts w:ascii="Arial Black" w:hAnsi="Arial Black"/>
                <w:sz w:val="24"/>
                <w:szCs w:val="24"/>
              </w:rPr>
              <w:t>18 446 981</w:t>
            </w:r>
          </w:p>
        </w:tc>
      </w:tr>
      <w:tr w:rsidR="00CE7C8D" w:rsidTr="00CE7C8D">
        <w:tc>
          <w:tcPr>
            <w:tcW w:w="7054" w:type="dxa"/>
          </w:tcPr>
          <w:p w:rsidR="00CE7C8D" w:rsidRDefault="000E4DC4" w:rsidP="00B31813">
            <w:pPr>
              <w:pStyle w:val="NoSpacing"/>
              <w:jc w:val="both"/>
              <w:rPr>
                <w:rFonts w:ascii="Arial Black" w:hAnsi="Arial Black"/>
                <w:sz w:val="24"/>
                <w:szCs w:val="24"/>
              </w:rPr>
            </w:pPr>
            <w:r>
              <w:rPr>
                <w:rFonts w:ascii="Arial Black" w:hAnsi="Arial Black"/>
                <w:sz w:val="24"/>
                <w:szCs w:val="24"/>
              </w:rPr>
              <w:t>Market risk</w:t>
            </w:r>
          </w:p>
        </w:tc>
        <w:tc>
          <w:tcPr>
            <w:tcW w:w="2188" w:type="dxa"/>
          </w:tcPr>
          <w:p w:rsidR="00CE7C8D" w:rsidRDefault="005A1538" w:rsidP="00B31813">
            <w:pPr>
              <w:pStyle w:val="NoSpacing"/>
              <w:jc w:val="both"/>
              <w:rPr>
                <w:rFonts w:ascii="Arial Black" w:hAnsi="Arial Black"/>
                <w:sz w:val="24"/>
                <w:szCs w:val="24"/>
              </w:rPr>
            </w:pPr>
            <w:r>
              <w:rPr>
                <w:rFonts w:ascii="Arial Black" w:hAnsi="Arial Black"/>
                <w:sz w:val="24"/>
                <w:szCs w:val="24"/>
              </w:rPr>
              <w:t>7 074 793</w:t>
            </w:r>
          </w:p>
        </w:tc>
      </w:tr>
      <w:tr w:rsidR="00CE7C8D" w:rsidTr="00CE7C8D">
        <w:tc>
          <w:tcPr>
            <w:tcW w:w="7054" w:type="dxa"/>
          </w:tcPr>
          <w:p w:rsidR="00CE7C8D" w:rsidRDefault="000E4DC4" w:rsidP="00B31813">
            <w:pPr>
              <w:pStyle w:val="NoSpacing"/>
              <w:jc w:val="both"/>
              <w:rPr>
                <w:rFonts w:ascii="Arial Black" w:hAnsi="Arial Black"/>
                <w:sz w:val="24"/>
                <w:szCs w:val="24"/>
              </w:rPr>
            </w:pPr>
            <w:r>
              <w:rPr>
                <w:rFonts w:ascii="Arial Black" w:hAnsi="Arial Black"/>
                <w:sz w:val="24"/>
                <w:szCs w:val="24"/>
              </w:rPr>
              <w:t>Operational risk</w:t>
            </w:r>
          </w:p>
        </w:tc>
        <w:tc>
          <w:tcPr>
            <w:tcW w:w="2188" w:type="dxa"/>
          </w:tcPr>
          <w:p w:rsidR="00CE7C8D" w:rsidRDefault="005A1538" w:rsidP="00B31813">
            <w:pPr>
              <w:pStyle w:val="NoSpacing"/>
              <w:jc w:val="both"/>
              <w:rPr>
                <w:rFonts w:ascii="Arial Black" w:hAnsi="Arial Black"/>
                <w:sz w:val="24"/>
                <w:szCs w:val="24"/>
              </w:rPr>
            </w:pPr>
            <w:r>
              <w:rPr>
                <w:rFonts w:ascii="Arial Black" w:hAnsi="Arial Black"/>
                <w:sz w:val="24"/>
                <w:szCs w:val="24"/>
              </w:rPr>
              <w:t>2 672 040</w:t>
            </w:r>
          </w:p>
        </w:tc>
      </w:tr>
      <w:tr w:rsidR="00CE7C8D" w:rsidTr="001D38ED">
        <w:tc>
          <w:tcPr>
            <w:tcW w:w="7054" w:type="dxa"/>
            <w:tcBorders>
              <w:bottom w:val="single" w:sz="4" w:space="0" w:color="auto"/>
            </w:tcBorders>
          </w:tcPr>
          <w:p w:rsidR="00CE7C8D" w:rsidRDefault="000E4DC4" w:rsidP="00B31813">
            <w:pPr>
              <w:pStyle w:val="NoSpacing"/>
              <w:jc w:val="both"/>
              <w:rPr>
                <w:rFonts w:ascii="Arial Black" w:hAnsi="Arial Black"/>
                <w:sz w:val="24"/>
                <w:szCs w:val="24"/>
              </w:rPr>
            </w:pPr>
            <w:r>
              <w:rPr>
                <w:rFonts w:ascii="Arial Black" w:hAnsi="Arial Black"/>
                <w:sz w:val="24"/>
                <w:szCs w:val="24"/>
              </w:rPr>
              <w:t>Other risks</w:t>
            </w:r>
          </w:p>
        </w:tc>
        <w:tc>
          <w:tcPr>
            <w:tcW w:w="2188" w:type="dxa"/>
            <w:tcBorders>
              <w:bottom w:val="single" w:sz="4" w:space="0" w:color="auto"/>
            </w:tcBorders>
          </w:tcPr>
          <w:p w:rsidR="00CE7C8D" w:rsidRDefault="005A1538" w:rsidP="00B31813">
            <w:pPr>
              <w:pStyle w:val="NoSpacing"/>
              <w:jc w:val="both"/>
              <w:rPr>
                <w:rFonts w:ascii="Arial Black" w:hAnsi="Arial Black"/>
                <w:sz w:val="24"/>
                <w:szCs w:val="24"/>
              </w:rPr>
            </w:pPr>
            <w:r>
              <w:rPr>
                <w:rFonts w:ascii="Arial Black" w:hAnsi="Arial Black"/>
                <w:sz w:val="24"/>
                <w:szCs w:val="24"/>
              </w:rPr>
              <w:t>486 382</w:t>
            </w:r>
          </w:p>
        </w:tc>
      </w:tr>
      <w:tr w:rsidR="00CE7C8D" w:rsidTr="001D38ED">
        <w:tc>
          <w:tcPr>
            <w:tcW w:w="7054" w:type="dxa"/>
            <w:shd w:val="clear" w:color="auto" w:fill="C6D9F1" w:themeFill="text2" w:themeFillTint="33"/>
          </w:tcPr>
          <w:p w:rsidR="00CE7C8D" w:rsidRPr="00ED128E" w:rsidRDefault="000E4DC4" w:rsidP="00B31813">
            <w:pPr>
              <w:pStyle w:val="NoSpacing"/>
              <w:jc w:val="both"/>
              <w:rPr>
                <w:rFonts w:ascii="Arial Black" w:hAnsi="Arial Black"/>
                <w:sz w:val="24"/>
                <w:szCs w:val="24"/>
                <w:u w:val="single"/>
              </w:rPr>
            </w:pPr>
            <w:r w:rsidRPr="00ED128E">
              <w:rPr>
                <w:rFonts w:ascii="Arial Black" w:hAnsi="Arial Black"/>
                <w:sz w:val="24"/>
                <w:szCs w:val="24"/>
                <w:u w:val="single"/>
              </w:rPr>
              <w:t>Capital ratios</w:t>
            </w:r>
          </w:p>
        </w:tc>
        <w:tc>
          <w:tcPr>
            <w:tcW w:w="2188" w:type="dxa"/>
            <w:shd w:val="clear" w:color="auto" w:fill="C6D9F1" w:themeFill="text2" w:themeFillTint="33"/>
          </w:tcPr>
          <w:p w:rsidR="00CE7C8D" w:rsidRDefault="00D24B2B" w:rsidP="00B31813">
            <w:pPr>
              <w:pStyle w:val="NoSpacing"/>
              <w:jc w:val="both"/>
              <w:rPr>
                <w:rFonts w:ascii="Arial Black" w:hAnsi="Arial Black"/>
                <w:sz w:val="24"/>
                <w:szCs w:val="24"/>
              </w:rPr>
            </w:pPr>
            <w:r w:rsidRPr="00D24B2B">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31 Dec 2014</w:t>
            </w:r>
          </w:p>
        </w:tc>
      </w:tr>
      <w:tr w:rsidR="00CE7C8D" w:rsidTr="00CE7C8D">
        <w:tc>
          <w:tcPr>
            <w:tcW w:w="7054" w:type="dxa"/>
          </w:tcPr>
          <w:p w:rsidR="00CE7C8D" w:rsidRDefault="00AE004C" w:rsidP="00B31813">
            <w:pPr>
              <w:pStyle w:val="NoSpacing"/>
              <w:jc w:val="both"/>
              <w:rPr>
                <w:rFonts w:ascii="Arial Black" w:hAnsi="Arial Black"/>
                <w:sz w:val="24"/>
                <w:szCs w:val="24"/>
              </w:rPr>
            </w:pPr>
            <w:r>
              <w:rPr>
                <w:rFonts w:ascii="Arial Black" w:hAnsi="Arial Black"/>
                <w:sz w:val="24"/>
                <w:szCs w:val="24"/>
              </w:rPr>
              <w:t>Total</w:t>
            </w:r>
            <w:r w:rsidR="000E4DC4">
              <w:rPr>
                <w:rFonts w:ascii="Arial Black" w:hAnsi="Arial Black"/>
                <w:sz w:val="24"/>
                <w:szCs w:val="24"/>
              </w:rPr>
              <w:t xml:space="preserve"> Capital Adequacy Ratio (CAR)</w:t>
            </w:r>
          </w:p>
        </w:tc>
        <w:tc>
          <w:tcPr>
            <w:tcW w:w="2188" w:type="dxa"/>
          </w:tcPr>
          <w:p w:rsidR="00CE7C8D" w:rsidRDefault="005A1538" w:rsidP="00B31813">
            <w:pPr>
              <w:pStyle w:val="NoSpacing"/>
              <w:jc w:val="both"/>
              <w:rPr>
                <w:rFonts w:ascii="Arial Black" w:hAnsi="Arial Black"/>
                <w:sz w:val="24"/>
                <w:szCs w:val="24"/>
              </w:rPr>
            </w:pPr>
            <w:r>
              <w:rPr>
                <w:rFonts w:ascii="Arial Black" w:hAnsi="Arial Black"/>
                <w:sz w:val="24"/>
                <w:szCs w:val="24"/>
              </w:rPr>
              <w:t>17.55%</w:t>
            </w:r>
          </w:p>
        </w:tc>
      </w:tr>
      <w:tr w:rsidR="00CE7C8D" w:rsidTr="00CE7C8D">
        <w:tc>
          <w:tcPr>
            <w:tcW w:w="7054" w:type="dxa"/>
          </w:tcPr>
          <w:p w:rsidR="00CE7C8D" w:rsidRDefault="00D21E82" w:rsidP="00B31813">
            <w:pPr>
              <w:pStyle w:val="NoSpacing"/>
              <w:jc w:val="both"/>
              <w:rPr>
                <w:rFonts w:ascii="Arial Black" w:hAnsi="Arial Black"/>
                <w:sz w:val="24"/>
                <w:szCs w:val="24"/>
              </w:rPr>
            </w:pPr>
            <w:r>
              <w:rPr>
                <w:rFonts w:ascii="Arial Black" w:hAnsi="Arial Black"/>
                <w:sz w:val="24"/>
                <w:szCs w:val="24"/>
              </w:rPr>
              <w:t>Basel III Leverage ratio</w:t>
            </w:r>
          </w:p>
        </w:tc>
        <w:tc>
          <w:tcPr>
            <w:tcW w:w="2188" w:type="dxa"/>
          </w:tcPr>
          <w:p w:rsidR="00CE7C8D" w:rsidRDefault="005A1538" w:rsidP="00B31813">
            <w:pPr>
              <w:pStyle w:val="NoSpacing"/>
              <w:jc w:val="both"/>
              <w:rPr>
                <w:rFonts w:ascii="Arial Black" w:hAnsi="Arial Black"/>
                <w:sz w:val="24"/>
                <w:szCs w:val="24"/>
              </w:rPr>
            </w:pPr>
            <w:r>
              <w:rPr>
                <w:rFonts w:ascii="Arial Black" w:hAnsi="Arial Black"/>
                <w:sz w:val="24"/>
                <w:szCs w:val="24"/>
              </w:rPr>
              <w:t>7.93%</w:t>
            </w:r>
          </w:p>
        </w:tc>
      </w:tr>
    </w:tbl>
    <w:p w:rsidR="00CE7C8D" w:rsidRDefault="00CE7C8D" w:rsidP="00B31813">
      <w:pPr>
        <w:pStyle w:val="NoSpacing"/>
        <w:jc w:val="both"/>
        <w:rPr>
          <w:rFonts w:ascii="Arial Black" w:hAnsi="Arial Black"/>
          <w:sz w:val="24"/>
          <w:szCs w:val="24"/>
        </w:rPr>
      </w:pPr>
    </w:p>
    <w:p w:rsidR="00D21E82" w:rsidRDefault="00D21E82" w:rsidP="00B31813">
      <w:pPr>
        <w:pStyle w:val="NoSpacing"/>
        <w:jc w:val="both"/>
        <w:rPr>
          <w:rFonts w:ascii="Arial Black" w:hAnsi="Arial Black"/>
          <w:sz w:val="24"/>
          <w:szCs w:val="24"/>
        </w:rPr>
      </w:pPr>
    </w:p>
    <w:p w:rsidR="00D21E82" w:rsidRDefault="00ED128E" w:rsidP="00B31813">
      <w:pPr>
        <w:pStyle w:val="NoSpacing"/>
        <w:jc w:val="both"/>
        <w:rPr>
          <w:rFonts w:ascii="Arial Black" w:hAnsi="Arial Black"/>
          <w:sz w:val="24"/>
          <w:szCs w:val="24"/>
        </w:rPr>
      </w:pPr>
      <w:r>
        <w:rPr>
          <w:rFonts w:ascii="Arial Black" w:hAnsi="Arial Black"/>
          <w:sz w:val="24"/>
          <w:szCs w:val="24"/>
        </w:rPr>
        <w:t xml:space="preserve">The present CAR is above the regulatory minimum </w:t>
      </w:r>
      <w:r w:rsidR="001D38ED">
        <w:rPr>
          <w:rFonts w:ascii="Arial Black" w:hAnsi="Arial Black"/>
          <w:sz w:val="24"/>
          <w:szCs w:val="24"/>
        </w:rPr>
        <w:t>[</w:t>
      </w:r>
      <w:r w:rsidR="00D21E82">
        <w:rPr>
          <w:rFonts w:ascii="Arial Black" w:hAnsi="Arial Black"/>
          <w:sz w:val="24"/>
          <w:szCs w:val="24"/>
        </w:rPr>
        <w:t>10.</w:t>
      </w:r>
      <w:r w:rsidR="004D1B6D">
        <w:rPr>
          <w:rFonts w:ascii="Arial Black" w:hAnsi="Arial Black"/>
          <w:sz w:val="24"/>
          <w:szCs w:val="24"/>
        </w:rPr>
        <w:t>2</w:t>
      </w:r>
      <w:r w:rsidR="00D21E82">
        <w:rPr>
          <w:rFonts w:ascii="Arial Black" w:hAnsi="Arial Black"/>
          <w:sz w:val="24"/>
          <w:szCs w:val="24"/>
        </w:rPr>
        <w:t>5%</w:t>
      </w:r>
      <w:r w:rsidR="001D38ED">
        <w:rPr>
          <w:rFonts w:ascii="Arial Black" w:hAnsi="Arial Black"/>
          <w:sz w:val="24"/>
          <w:szCs w:val="24"/>
        </w:rPr>
        <w:t xml:space="preserve"> for 2014]</w:t>
      </w:r>
      <w:r w:rsidR="00D21E82">
        <w:rPr>
          <w:rFonts w:ascii="Arial Black" w:hAnsi="Arial Black"/>
          <w:sz w:val="24"/>
          <w:szCs w:val="24"/>
        </w:rPr>
        <w:t xml:space="preserve"> </w:t>
      </w:r>
      <w:r>
        <w:rPr>
          <w:rFonts w:ascii="Arial Black" w:hAnsi="Arial Black"/>
          <w:sz w:val="24"/>
          <w:szCs w:val="24"/>
        </w:rPr>
        <w:t xml:space="preserve">capital </w:t>
      </w:r>
      <w:r w:rsidR="00D21E82">
        <w:rPr>
          <w:rFonts w:ascii="Arial Black" w:hAnsi="Arial Black"/>
          <w:sz w:val="24"/>
          <w:szCs w:val="24"/>
        </w:rPr>
        <w:t xml:space="preserve">ratio </w:t>
      </w:r>
      <w:r>
        <w:rPr>
          <w:rFonts w:ascii="Arial Black" w:hAnsi="Arial Black"/>
          <w:sz w:val="24"/>
          <w:szCs w:val="24"/>
        </w:rPr>
        <w:t>required by the SARB under Basel III.</w:t>
      </w:r>
    </w:p>
    <w:p w:rsidR="00ED128E" w:rsidRDefault="00D21E82" w:rsidP="00B31813">
      <w:pPr>
        <w:pStyle w:val="NoSpacing"/>
        <w:jc w:val="both"/>
        <w:rPr>
          <w:rFonts w:ascii="Arial Black" w:hAnsi="Arial Black"/>
          <w:sz w:val="24"/>
          <w:szCs w:val="24"/>
        </w:rPr>
      </w:pPr>
      <w:r>
        <w:rPr>
          <w:rFonts w:ascii="Arial Black" w:hAnsi="Arial Black"/>
          <w:sz w:val="24"/>
          <w:szCs w:val="24"/>
        </w:rPr>
        <w:lastRenderedPageBreak/>
        <w:t>The aforementioned Basel III leverage ratio depicts the total branch capital in relation to the total exposures of the branch. This is an important supplementary measure to the risk based capital requirements, required by the SARB. This ratio may at no time be less than 4 percent.</w:t>
      </w:r>
      <w:r w:rsidR="00ED128E">
        <w:rPr>
          <w:rFonts w:ascii="Arial Black" w:hAnsi="Arial Black"/>
          <w:sz w:val="24"/>
          <w:szCs w:val="24"/>
        </w:rPr>
        <w:t xml:space="preserve"> </w:t>
      </w:r>
    </w:p>
    <w:p w:rsidR="00721EFC" w:rsidRDefault="00721EFC" w:rsidP="00B31813">
      <w:pPr>
        <w:pStyle w:val="NoSpacing"/>
        <w:jc w:val="both"/>
        <w:rPr>
          <w:rFonts w:ascii="Arial Black" w:hAnsi="Arial Black"/>
          <w:sz w:val="24"/>
          <w:szCs w:val="24"/>
        </w:rPr>
      </w:pPr>
    </w:p>
    <w:p w:rsidR="00F7397A" w:rsidRDefault="00F7397A" w:rsidP="00B31813">
      <w:pPr>
        <w:pStyle w:val="NoSpacing"/>
        <w:jc w:val="both"/>
        <w:rPr>
          <w:rFonts w:ascii="Arial Black" w:hAnsi="Arial Black"/>
          <w:sz w:val="24"/>
          <w:szCs w:val="24"/>
        </w:rPr>
      </w:pPr>
    </w:p>
    <w:p w:rsidR="00F7397A" w:rsidRDefault="00F7397A" w:rsidP="00B31813">
      <w:pPr>
        <w:pStyle w:val="NoSpacing"/>
        <w:jc w:val="both"/>
        <w:rPr>
          <w:rFonts w:ascii="Arial Black" w:hAnsi="Arial Black"/>
          <w:sz w:val="24"/>
          <w:szCs w:val="24"/>
        </w:rPr>
      </w:pPr>
    </w:p>
    <w:p w:rsidR="00ED128E" w:rsidRDefault="00BD038B" w:rsidP="00B31813">
      <w:pPr>
        <w:pStyle w:val="NoSpacing"/>
        <w:jc w:val="both"/>
        <w:rPr>
          <w:rFonts w:ascii="Arial Black" w:hAnsi="Arial Black"/>
          <w:b/>
          <w:sz w:val="24"/>
          <w:szCs w:val="24"/>
          <w:u w:val="single"/>
        </w:rPr>
      </w:pPr>
      <w:r>
        <w:rPr>
          <w:rFonts w:ascii="Arial Black" w:hAnsi="Arial Black"/>
          <w:b/>
          <w:sz w:val="24"/>
          <w:szCs w:val="24"/>
          <w:u w:val="single"/>
        </w:rPr>
        <w:t xml:space="preserve">II. </w:t>
      </w:r>
      <w:r w:rsidR="00EF0B06">
        <w:rPr>
          <w:rFonts w:ascii="Arial Black" w:hAnsi="Arial Black"/>
          <w:b/>
          <w:sz w:val="24"/>
          <w:szCs w:val="24"/>
          <w:u w:val="single"/>
        </w:rPr>
        <w:t>Credit risk</w:t>
      </w:r>
    </w:p>
    <w:p w:rsidR="00EF0B06" w:rsidRDefault="00EF0B06" w:rsidP="00B31813">
      <w:pPr>
        <w:pStyle w:val="NoSpacing"/>
        <w:jc w:val="both"/>
        <w:rPr>
          <w:rFonts w:ascii="Arial Black" w:hAnsi="Arial Black"/>
          <w:b/>
          <w:sz w:val="24"/>
          <w:szCs w:val="24"/>
          <w:u w:val="single"/>
        </w:rPr>
      </w:pPr>
    </w:p>
    <w:p w:rsidR="00EF0B06" w:rsidRPr="00EF0B06" w:rsidRDefault="00EF0B06" w:rsidP="00EF0B06">
      <w:pPr>
        <w:pStyle w:val="NoSpacing"/>
        <w:rPr>
          <w:rFonts w:ascii="Arial Black" w:hAnsi="Arial Black"/>
          <w:b/>
          <w:sz w:val="24"/>
          <w:szCs w:val="24"/>
        </w:rPr>
      </w:pPr>
      <w:r w:rsidRPr="00EF0B06">
        <w:rPr>
          <w:rFonts w:ascii="Arial Black" w:hAnsi="Arial Black"/>
          <w:b/>
          <w:sz w:val="24"/>
          <w:szCs w:val="24"/>
        </w:rPr>
        <w:t xml:space="preserve">The </w:t>
      </w:r>
      <w:r w:rsidR="00AF5A1B">
        <w:rPr>
          <w:rFonts w:ascii="Arial Black" w:hAnsi="Arial Black"/>
          <w:b/>
          <w:sz w:val="24"/>
          <w:szCs w:val="24"/>
        </w:rPr>
        <w:t>b</w:t>
      </w:r>
      <w:r w:rsidRPr="00EF0B06">
        <w:rPr>
          <w:rFonts w:ascii="Arial Black" w:hAnsi="Arial Black"/>
          <w:b/>
          <w:sz w:val="24"/>
          <w:szCs w:val="24"/>
        </w:rPr>
        <w:t xml:space="preserve">ranch is subject to credit risk through its trading and lending activities and in cases where it acts as an intermediary on behalf of customers or other third parties or issues guarantees. The risk that counterparties to both derivative and other instruments might default on their obligations is monitored on an ongoing basis. The </w:t>
      </w:r>
      <w:r w:rsidR="00AF5A1B">
        <w:rPr>
          <w:rFonts w:ascii="Arial Black" w:hAnsi="Arial Black"/>
          <w:b/>
          <w:sz w:val="24"/>
          <w:szCs w:val="24"/>
        </w:rPr>
        <w:t>b</w:t>
      </w:r>
      <w:r w:rsidRPr="00EF0B06">
        <w:rPr>
          <w:rFonts w:ascii="Arial Black" w:hAnsi="Arial Black"/>
          <w:b/>
          <w:sz w:val="24"/>
          <w:szCs w:val="24"/>
        </w:rPr>
        <w:t xml:space="preserve">ranch’s primary exposure to credit risk arises through its loans and advances. The amount of credit exposure in this regard is represented by the carrying amounts of the assets on the statement of financial position. The </w:t>
      </w:r>
      <w:r w:rsidR="00AF5A1B">
        <w:rPr>
          <w:rFonts w:ascii="Arial Black" w:hAnsi="Arial Black"/>
          <w:b/>
          <w:sz w:val="24"/>
          <w:szCs w:val="24"/>
        </w:rPr>
        <w:t>b</w:t>
      </w:r>
      <w:r w:rsidRPr="00EF0B06">
        <w:rPr>
          <w:rFonts w:ascii="Arial Black" w:hAnsi="Arial Black"/>
          <w:b/>
          <w:sz w:val="24"/>
          <w:szCs w:val="24"/>
        </w:rPr>
        <w:t xml:space="preserve">ranch is exposed to credit risk on various other financial assets, including derivative financial instruments and interest bearing securities. The current credit exposure in respect of these instruments is equal to the carrying amount of these assets in the statement of financial position. In addition, the </w:t>
      </w:r>
      <w:r w:rsidR="00AF5A1B">
        <w:rPr>
          <w:rFonts w:ascii="Arial Black" w:hAnsi="Arial Black"/>
          <w:b/>
          <w:sz w:val="24"/>
          <w:szCs w:val="24"/>
        </w:rPr>
        <w:t>b</w:t>
      </w:r>
      <w:r w:rsidRPr="00EF0B06">
        <w:rPr>
          <w:rFonts w:ascii="Arial Black" w:hAnsi="Arial Black"/>
          <w:b/>
          <w:sz w:val="24"/>
          <w:szCs w:val="24"/>
        </w:rPr>
        <w:t xml:space="preserve">ranch is exposed to off balance sheet credit risk through commitments to extend credit and guarantees issued. Concentrations of credit risk (whether on or off balance sheet) arise when counterparties have similar economic characteristics that would cause their ability to meet contractual obligations to be similarly affected by changes in economic or other conditions. The major concentrations of credit risk arise by type of customer in relation to loans and advances, commitments to extend credit and guarantees issued. The </w:t>
      </w:r>
      <w:r w:rsidR="00AF5A1B">
        <w:rPr>
          <w:rFonts w:ascii="Arial Black" w:hAnsi="Arial Black"/>
          <w:b/>
          <w:sz w:val="24"/>
          <w:szCs w:val="24"/>
        </w:rPr>
        <w:t>b</w:t>
      </w:r>
      <w:r w:rsidRPr="00EF0B06">
        <w:rPr>
          <w:rFonts w:ascii="Arial Black" w:hAnsi="Arial Black"/>
          <w:b/>
          <w:sz w:val="24"/>
          <w:szCs w:val="24"/>
        </w:rPr>
        <w:t>ranch has no significant exposure to any individual customer or counterparty.</w:t>
      </w:r>
    </w:p>
    <w:p w:rsidR="00EF0B06" w:rsidRPr="00EF0B06" w:rsidRDefault="00EF0B06" w:rsidP="00EF0B06">
      <w:pPr>
        <w:pStyle w:val="NoSpacing"/>
        <w:rPr>
          <w:rFonts w:ascii="Arial Black" w:hAnsi="Arial Black"/>
          <w:b/>
          <w:sz w:val="24"/>
          <w:szCs w:val="24"/>
        </w:rPr>
      </w:pPr>
    </w:p>
    <w:p w:rsidR="00EF0B06" w:rsidRPr="00EF0B06" w:rsidRDefault="00EF0B06" w:rsidP="00EF0B06">
      <w:pPr>
        <w:pStyle w:val="NoSpacing"/>
        <w:rPr>
          <w:rFonts w:ascii="Arial Black" w:hAnsi="Arial Black"/>
          <w:b/>
          <w:sz w:val="24"/>
          <w:szCs w:val="24"/>
        </w:rPr>
      </w:pPr>
      <w:r w:rsidRPr="00EF0B06">
        <w:rPr>
          <w:rFonts w:ascii="Arial Black" w:hAnsi="Arial Black"/>
          <w:b/>
          <w:sz w:val="24"/>
          <w:szCs w:val="24"/>
        </w:rPr>
        <w:t xml:space="preserve">The </w:t>
      </w:r>
      <w:r w:rsidR="00AF5A1B">
        <w:rPr>
          <w:rFonts w:ascii="Arial Black" w:hAnsi="Arial Black"/>
          <w:b/>
          <w:sz w:val="24"/>
          <w:szCs w:val="24"/>
        </w:rPr>
        <w:t>b</w:t>
      </w:r>
      <w:r w:rsidRPr="00EF0B06">
        <w:rPr>
          <w:rFonts w:ascii="Arial Black" w:hAnsi="Arial Black"/>
          <w:b/>
          <w:sz w:val="24"/>
          <w:szCs w:val="24"/>
        </w:rPr>
        <w:t>ranch structures the levels of credit risk it undertakes by placing limits on the amount of risk accepted in relation to one borrower, or groups of borrowers, and to geographical and industry segments.  Such risks are monitored on a revolving basis and are subject to an annual or more frequent review.</w:t>
      </w:r>
    </w:p>
    <w:p w:rsidR="00EF0B06" w:rsidRPr="00EF0B06" w:rsidRDefault="00EF0B06" w:rsidP="00EF0B06">
      <w:pPr>
        <w:pStyle w:val="NoSpacing"/>
        <w:rPr>
          <w:rFonts w:ascii="Arial Black" w:hAnsi="Arial Black"/>
          <w:b/>
          <w:sz w:val="24"/>
          <w:szCs w:val="24"/>
        </w:rPr>
      </w:pPr>
    </w:p>
    <w:p w:rsidR="00EF0B06" w:rsidRPr="00EF0B06" w:rsidRDefault="00EF0B06" w:rsidP="00EF0B06">
      <w:pPr>
        <w:pStyle w:val="NoSpacing"/>
        <w:rPr>
          <w:rFonts w:ascii="Arial Black" w:hAnsi="Arial Black"/>
          <w:b/>
          <w:sz w:val="24"/>
          <w:szCs w:val="24"/>
        </w:rPr>
      </w:pPr>
      <w:r w:rsidRPr="00EF0B06">
        <w:rPr>
          <w:rFonts w:ascii="Arial Black" w:hAnsi="Arial Black"/>
          <w:b/>
          <w:sz w:val="24"/>
          <w:szCs w:val="24"/>
        </w:rPr>
        <w:lastRenderedPageBreak/>
        <w:t>The exposure to any one borrower is further restricted by sub-limits covering on and off-balance sheet exposures.  Actual exposures against limits are monitored daily.  Exposure to credit risk is managed through regular analysis of the ability of borrowers and potential borrowers to meet interest and capital repayment obligations and by changing these lending limits where appropriate.  Exposure to credit risk is also managed in part by obtaining collateral and corporate and personal guarantees, but a significant portion is lending where no such facilities can be obtained.</w:t>
      </w:r>
    </w:p>
    <w:p w:rsidR="00EF0B06" w:rsidRPr="00EF0B06" w:rsidRDefault="00EF0B06" w:rsidP="00EF0B06">
      <w:pPr>
        <w:pStyle w:val="NoSpacing"/>
        <w:rPr>
          <w:rFonts w:ascii="Arial Black" w:hAnsi="Arial Black"/>
          <w:b/>
          <w:sz w:val="24"/>
          <w:szCs w:val="24"/>
        </w:rPr>
      </w:pPr>
    </w:p>
    <w:p w:rsidR="00EF0B06" w:rsidRPr="00EF0B06" w:rsidRDefault="00EF0B06" w:rsidP="00EF0B06">
      <w:pPr>
        <w:pStyle w:val="NoSpacing"/>
        <w:rPr>
          <w:rFonts w:ascii="Arial Black" w:hAnsi="Arial Black"/>
          <w:b/>
          <w:sz w:val="24"/>
          <w:szCs w:val="24"/>
        </w:rPr>
      </w:pPr>
      <w:r w:rsidRPr="00EF0B06">
        <w:rPr>
          <w:rFonts w:ascii="Arial Black" w:hAnsi="Arial Black"/>
          <w:b/>
          <w:sz w:val="24"/>
          <w:szCs w:val="24"/>
        </w:rPr>
        <w:t xml:space="preserve">The </w:t>
      </w:r>
      <w:r w:rsidR="00AF5A1B">
        <w:rPr>
          <w:rFonts w:ascii="Arial Black" w:hAnsi="Arial Black"/>
          <w:b/>
          <w:sz w:val="24"/>
          <w:szCs w:val="24"/>
        </w:rPr>
        <w:t>b</w:t>
      </w:r>
      <w:r w:rsidRPr="00EF0B06">
        <w:rPr>
          <w:rFonts w:ascii="Arial Black" w:hAnsi="Arial Black"/>
          <w:b/>
          <w:sz w:val="24"/>
          <w:szCs w:val="24"/>
        </w:rPr>
        <w:t>ranch’s maximum credit exposure is represented by the financial assets presented on the statement of financial position and, additionally, off-balance sheet items.</w:t>
      </w:r>
    </w:p>
    <w:p w:rsidR="00EF0B06" w:rsidRPr="00EF0B06" w:rsidRDefault="00EF0B06" w:rsidP="00EF0B06">
      <w:pPr>
        <w:pStyle w:val="NoSpacing"/>
        <w:rPr>
          <w:rFonts w:ascii="Arial Black" w:hAnsi="Arial Black"/>
          <w:b/>
          <w:sz w:val="24"/>
          <w:szCs w:val="24"/>
        </w:rPr>
      </w:pPr>
    </w:p>
    <w:p w:rsidR="00EF0B06" w:rsidRDefault="00EF0B06" w:rsidP="00EF0B06">
      <w:pPr>
        <w:pStyle w:val="NoSpacing"/>
        <w:rPr>
          <w:rFonts w:ascii="Arial Black" w:hAnsi="Arial Black"/>
          <w:b/>
          <w:sz w:val="24"/>
          <w:szCs w:val="24"/>
        </w:rPr>
      </w:pPr>
      <w:r w:rsidRPr="00EF0B06">
        <w:rPr>
          <w:rFonts w:ascii="Arial Black" w:hAnsi="Arial Black"/>
          <w:b/>
          <w:sz w:val="24"/>
          <w:szCs w:val="24"/>
        </w:rPr>
        <w:t xml:space="preserve">The </w:t>
      </w:r>
      <w:r w:rsidR="00AF5A1B">
        <w:rPr>
          <w:rFonts w:ascii="Arial Black" w:hAnsi="Arial Black"/>
          <w:b/>
          <w:sz w:val="24"/>
          <w:szCs w:val="24"/>
        </w:rPr>
        <w:t>b</w:t>
      </w:r>
      <w:r w:rsidRPr="00EF0B06">
        <w:rPr>
          <w:rFonts w:ascii="Arial Black" w:hAnsi="Arial Black"/>
          <w:b/>
          <w:sz w:val="24"/>
          <w:szCs w:val="24"/>
        </w:rPr>
        <w:t>ranch currently adopts the standardised approach to credit risk.</w:t>
      </w:r>
    </w:p>
    <w:p w:rsidR="00AF5A1B" w:rsidRDefault="00AF5A1B" w:rsidP="00EF0B06">
      <w:pPr>
        <w:pStyle w:val="NoSpacing"/>
        <w:rPr>
          <w:rFonts w:ascii="Arial Black" w:hAnsi="Arial Black"/>
          <w:b/>
          <w:sz w:val="24"/>
          <w:szCs w:val="24"/>
        </w:rPr>
      </w:pPr>
    </w:p>
    <w:p w:rsidR="00AF5A1B" w:rsidRDefault="00AF5A1B" w:rsidP="00EF0B06">
      <w:pPr>
        <w:pStyle w:val="NoSpacing"/>
        <w:rPr>
          <w:rFonts w:ascii="Arial Black" w:hAnsi="Arial Black"/>
          <w:b/>
          <w:sz w:val="24"/>
          <w:szCs w:val="24"/>
        </w:rPr>
      </w:pPr>
      <w:r>
        <w:rPr>
          <w:rFonts w:ascii="Arial Black" w:hAnsi="Arial Black"/>
          <w:b/>
          <w:sz w:val="24"/>
          <w:szCs w:val="24"/>
        </w:rPr>
        <w:t>The table</w:t>
      </w:r>
      <w:r w:rsidR="00CE24C3">
        <w:rPr>
          <w:rFonts w:ascii="Arial Black" w:hAnsi="Arial Black"/>
          <w:b/>
          <w:sz w:val="24"/>
          <w:szCs w:val="24"/>
        </w:rPr>
        <w:t>s below provide</w:t>
      </w:r>
      <w:r>
        <w:rPr>
          <w:rFonts w:ascii="Arial Black" w:hAnsi="Arial Black"/>
          <w:b/>
          <w:sz w:val="24"/>
          <w:szCs w:val="24"/>
        </w:rPr>
        <w:t xml:space="preserve"> the </w:t>
      </w:r>
      <w:r w:rsidR="00213B7B">
        <w:rPr>
          <w:rFonts w:ascii="Arial Black" w:hAnsi="Arial Black"/>
          <w:b/>
          <w:sz w:val="24"/>
          <w:szCs w:val="24"/>
        </w:rPr>
        <w:t>on balance sheet</w:t>
      </w:r>
      <w:r w:rsidR="00CE24C3">
        <w:rPr>
          <w:rFonts w:ascii="Arial Black" w:hAnsi="Arial Black"/>
          <w:b/>
          <w:sz w:val="24"/>
          <w:szCs w:val="24"/>
        </w:rPr>
        <w:t xml:space="preserve"> </w:t>
      </w:r>
      <w:r w:rsidR="00F63FA1">
        <w:rPr>
          <w:rFonts w:ascii="Arial Black" w:hAnsi="Arial Black"/>
          <w:b/>
          <w:sz w:val="24"/>
          <w:szCs w:val="24"/>
        </w:rPr>
        <w:t>gross</w:t>
      </w:r>
      <w:r>
        <w:rPr>
          <w:rFonts w:ascii="Arial Black" w:hAnsi="Arial Black"/>
          <w:b/>
          <w:sz w:val="24"/>
          <w:szCs w:val="24"/>
        </w:rPr>
        <w:t xml:space="preserve"> exposure values and risk weighted assets for our corporate clients</w:t>
      </w:r>
      <w:r w:rsidR="00CE24C3">
        <w:rPr>
          <w:rFonts w:ascii="Arial Black" w:hAnsi="Arial Black"/>
          <w:b/>
          <w:sz w:val="24"/>
          <w:szCs w:val="24"/>
        </w:rPr>
        <w:t>, together with the off balance sheet total after any credit conversion factors (C</w:t>
      </w:r>
      <w:r w:rsidR="008A1385">
        <w:rPr>
          <w:rFonts w:ascii="Arial Black" w:hAnsi="Arial Black"/>
          <w:b/>
          <w:sz w:val="24"/>
          <w:szCs w:val="24"/>
        </w:rPr>
        <w:t>C</w:t>
      </w:r>
      <w:r w:rsidR="00CE24C3">
        <w:rPr>
          <w:rFonts w:ascii="Arial Black" w:hAnsi="Arial Black"/>
          <w:b/>
          <w:sz w:val="24"/>
          <w:szCs w:val="24"/>
        </w:rPr>
        <w:t>F)</w:t>
      </w:r>
      <w:r>
        <w:rPr>
          <w:rFonts w:ascii="Arial Black" w:hAnsi="Arial Black"/>
          <w:b/>
          <w:sz w:val="24"/>
          <w:szCs w:val="24"/>
        </w:rPr>
        <w:t>:</w:t>
      </w:r>
    </w:p>
    <w:p w:rsidR="00AF5A1B" w:rsidRDefault="00AF5A1B" w:rsidP="00EF0B06">
      <w:pPr>
        <w:pStyle w:val="NoSpacing"/>
        <w:rPr>
          <w:rFonts w:ascii="Arial Black" w:hAnsi="Arial Black"/>
          <w:b/>
          <w:sz w:val="24"/>
          <w:szCs w:val="24"/>
        </w:rPr>
      </w:pPr>
    </w:p>
    <w:p w:rsidR="001D38ED" w:rsidRDefault="001D38ED" w:rsidP="00EF0B06">
      <w:pPr>
        <w:pStyle w:val="NoSpacing"/>
        <w:rPr>
          <w:rFonts w:ascii="Arial Black" w:hAnsi="Arial Black"/>
          <w:b/>
          <w:sz w:val="24"/>
          <w:szCs w:val="24"/>
        </w:rPr>
      </w:pPr>
    </w:p>
    <w:p w:rsidR="00213B7B" w:rsidRDefault="00213B7B" w:rsidP="00EF0B06">
      <w:pPr>
        <w:pStyle w:val="NoSpacing"/>
        <w:rPr>
          <w:rFonts w:ascii="Arial Black" w:hAnsi="Arial Black"/>
          <w:b/>
          <w:sz w:val="24"/>
          <w:szCs w:val="24"/>
        </w:rPr>
      </w:pPr>
    </w:p>
    <w:tbl>
      <w:tblPr>
        <w:tblStyle w:val="TableGrid"/>
        <w:tblW w:w="0" w:type="auto"/>
        <w:tblLook w:val="04A0" w:firstRow="1" w:lastRow="0" w:firstColumn="1" w:lastColumn="0" w:noHBand="0" w:noVBand="1"/>
      </w:tblPr>
      <w:tblGrid>
        <w:gridCol w:w="2310"/>
        <w:gridCol w:w="2310"/>
        <w:gridCol w:w="4386"/>
        <w:gridCol w:w="236"/>
      </w:tblGrid>
      <w:tr w:rsidR="00F63FA1" w:rsidTr="00CE24C3">
        <w:tc>
          <w:tcPr>
            <w:tcW w:w="2310" w:type="dxa"/>
            <w:shd w:val="clear" w:color="auto" w:fill="C6D9F1" w:themeFill="text2" w:themeFillTint="33"/>
          </w:tcPr>
          <w:p w:rsidR="00F63FA1" w:rsidRDefault="00F63FA1" w:rsidP="00345AE1">
            <w:pPr>
              <w:pStyle w:val="NoSpacing"/>
              <w:rPr>
                <w:rFonts w:ascii="Arial Black" w:hAnsi="Arial Black"/>
                <w:b/>
                <w:sz w:val="24"/>
                <w:szCs w:val="24"/>
              </w:rPr>
            </w:pPr>
            <w:r w:rsidRPr="00A44EE1">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31 Dec 2014 </w:t>
            </w:r>
            <w:r>
              <w:rPr>
                <w:rFonts w:ascii="Arial Black" w:hAnsi="Arial Black"/>
                <w:b/>
                <w:sz w:val="24"/>
                <w:szCs w:val="24"/>
              </w:rPr>
              <w:t>ZAR ‘000</w:t>
            </w:r>
          </w:p>
        </w:tc>
        <w:tc>
          <w:tcPr>
            <w:tcW w:w="2310" w:type="dxa"/>
            <w:shd w:val="clear" w:color="auto" w:fill="C6D9F1" w:themeFill="text2" w:themeFillTint="33"/>
          </w:tcPr>
          <w:p w:rsidR="00F63FA1" w:rsidRDefault="00F63FA1" w:rsidP="00345AE1">
            <w:pPr>
              <w:pStyle w:val="NoSpacing"/>
              <w:rPr>
                <w:rFonts w:ascii="Arial Black" w:hAnsi="Arial Black"/>
                <w:b/>
                <w:sz w:val="24"/>
                <w:szCs w:val="24"/>
              </w:rPr>
            </w:pPr>
            <w:r>
              <w:rPr>
                <w:rFonts w:ascii="Arial Black" w:hAnsi="Arial Black"/>
                <w:b/>
                <w:sz w:val="24"/>
                <w:szCs w:val="24"/>
              </w:rPr>
              <w:t>Gross Exposure Values</w:t>
            </w:r>
            <w:r w:rsidR="005A1538">
              <w:rPr>
                <w:rFonts w:ascii="Arial Black" w:hAnsi="Arial Black"/>
                <w:b/>
                <w:sz w:val="24"/>
                <w:szCs w:val="24"/>
              </w:rPr>
              <w:t xml:space="preserve"> (Post CRM)</w:t>
            </w:r>
          </w:p>
        </w:tc>
        <w:tc>
          <w:tcPr>
            <w:tcW w:w="4386" w:type="dxa"/>
            <w:shd w:val="clear" w:color="auto" w:fill="C6D9F1" w:themeFill="text2" w:themeFillTint="33"/>
          </w:tcPr>
          <w:p w:rsidR="00F63FA1" w:rsidRDefault="00F63FA1" w:rsidP="00345AE1">
            <w:pPr>
              <w:pStyle w:val="NoSpacing"/>
              <w:rPr>
                <w:rFonts w:ascii="Arial Black" w:hAnsi="Arial Black"/>
                <w:b/>
                <w:sz w:val="24"/>
                <w:szCs w:val="24"/>
              </w:rPr>
            </w:pPr>
            <w:r>
              <w:rPr>
                <w:rFonts w:ascii="Arial Black" w:hAnsi="Arial Black"/>
                <w:b/>
                <w:sz w:val="24"/>
                <w:szCs w:val="24"/>
              </w:rPr>
              <w:t>Risk Weighted Assets</w:t>
            </w:r>
          </w:p>
        </w:tc>
        <w:tc>
          <w:tcPr>
            <w:tcW w:w="236" w:type="dxa"/>
            <w:shd w:val="clear" w:color="auto" w:fill="C6D9F1" w:themeFill="text2" w:themeFillTint="33"/>
          </w:tcPr>
          <w:p w:rsidR="00F63FA1" w:rsidRDefault="00F63FA1" w:rsidP="00345AE1">
            <w:pPr>
              <w:pStyle w:val="NoSpacing"/>
              <w:rPr>
                <w:rFonts w:ascii="Arial Black" w:hAnsi="Arial Black"/>
                <w:b/>
                <w:sz w:val="24"/>
                <w:szCs w:val="24"/>
              </w:rPr>
            </w:pPr>
          </w:p>
        </w:tc>
      </w:tr>
      <w:tr w:rsidR="00F63FA1" w:rsidTr="00CE24C3">
        <w:tc>
          <w:tcPr>
            <w:tcW w:w="2310" w:type="dxa"/>
          </w:tcPr>
          <w:p w:rsidR="00F63FA1" w:rsidRDefault="00F63FA1" w:rsidP="00345AE1">
            <w:pPr>
              <w:pStyle w:val="NoSpacing"/>
              <w:rPr>
                <w:rFonts w:ascii="Arial Black" w:hAnsi="Arial Black"/>
                <w:b/>
                <w:sz w:val="24"/>
                <w:szCs w:val="24"/>
              </w:rPr>
            </w:pPr>
            <w:r>
              <w:rPr>
                <w:rFonts w:ascii="Arial Black" w:hAnsi="Arial Black"/>
                <w:b/>
                <w:sz w:val="24"/>
                <w:szCs w:val="24"/>
              </w:rPr>
              <w:t>Corporate</w:t>
            </w:r>
          </w:p>
        </w:tc>
        <w:tc>
          <w:tcPr>
            <w:tcW w:w="2310" w:type="dxa"/>
          </w:tcPr>
          <w:p w:rsidR="00F63FA1" w:rsidRDefault="005A1538" w:rsidP="00345AE1">
            <w:pPr>
              <w:pStyle w:val="NoSpacing"/>
              <w:rPr>
                <w:rFonts w:ascii="Arial Black" w:hAnsi="Arial Black"/>
                <w:b/>
                <w:sz w:val="24"/>
                <w:szCs w:val="24"/>
              </w:rPr>
            </w:pPr>
            <w:r w:rsidRPr="005A1538">
              <w:rPr>
                <w:rFonts w:ascii="Arial Black" w:hAnsi="Arial Black"/>
                <w:b/>
                <w:sz w:val="24"/>
                <w:szCs w:val="24"/>
              </w:rPr>
              <w:t>38 634 639</w:t>
            </w:r>
          </w:p>
        </w:tc>
        <w:tc>
          <w:tcPr>
            <w:tcW w:w="4386" w:type="dxa"/>
          </w:tcPr>
          <w:p w:rsidR="00F63FA1" w:rsidRDefault="005A1538" w:rsidP="00345AE1">
            <w:pPr>
              <w:pStyle w:val="NoSpacing"/>
              <w:rPr>
                <w:rFonts w:ascii="Arial Black" w:hAnsi="Arial Black"/>
                <w:b/>
                <w:sz w:val="24"/>
                <w:szCs w:val="24"/>
              </w:rPr>
            </w:pPr>
            <w:r w:rsidRPr="005A1538">
              <w:rPr>
                <w:rFonts w:ascii="Arial Black" w:hAnsi="Arial Black"/>
                <w:b/>
                <w:sz w:val="24"/>
                <w:szCs w:val="24"/>
              </w:rPr>
              <w:t>16 286 636</w:t>
            </w:r>
          </w:p>
        </w:tc>
        <w:tc>
          <w:tcPr>
            <w:tcW w:w="236" w:type="dxa"/>
          </w:tcPr>
          <w:p w:rsidR="00F63FA1" w:rsidRDefault="00F63FA1" w:rsidP="00345AE1">
            <w:pPr>
              <w:pStyle w:val="NoSpacing"/>
              <w:rPr>
                <w:rFonts w:ascii="Arial Black" w:hAnsi="Arial Black"/>
                <w:b/>
                <w:sz w:val="24"/>
                <w:szCs w:val="24"/>
              </w:rPr>
            </w:pPr>
          </w:p>
        </w:tc>
      </w:tr>
      <w:tr w:rsidR="00F63FA1" w:rsidTr="00CE24C3">
        <w:tc>
          <w:tcPr>
            <w:tcW w:w="2310" w:type="dxa"/>
          </w:tcPr>
          <w:p w:rsidR="00F63FA1" w:rsidRDefault="00F63FA1" w:rsidP="00EF0B06">
            <w:pPr>
              <w:pStyle w:val="NoSpacing"/>
              <w:rPr>
                <w:rFonts w:ascii="Arial Black" w:hAnsi="Arial Black"/>
                <w:b/>
                <w:sz w:val="24"/>
                <w:szCs w:val="24"/>
              </w:rPr>
            </w:pPr>
            <w:r>
              <w:rPr>
                <w:rFonts w:ascii="Arial Black" w:hAnsi="Arial Black"/>
                <w:b/>
                <w:sz w:val="24"/>
                <w:szCs w:val="24"/>
              </w:rPr>
              <w:t>Public sector</w:t>
            </w:r>
          </w:p>
        </w:tc>
        <w:tc>
          <w:tcPr>
            <w:tcW w:w="2310" w:type="dxa"/>
          </w:tcPr>
          <w:p w:rsidR="00F63FA1" w:rsidRDefault="005A1538" w:rsidP="00EF0B06">
            <w:pPr>
              <w:pStyle w:val="NoSpacing"/>
              <w:rPr>
                <w:rFonts w:ascii="Arial Black" w:hAnsi="Arial Black"/>
                <w:b/>
                <w:sz w:val="24"/>
                <w:szCs w:val="24"/>
              </w:rPr>
            </w:pPr>
            <w:r w:rsidRPr="005A1538">
              <w:rPr>
                <w:rFonts w:ascii="Arial Black" w:hAnsi="Arial Black"/>
                <w:b/>
                <w:sz w:val="24"/>
                <w:szCs w:val="24"/>
              </w:rPr>
              <w:t>2 093 470</w:t>
            </w:r>
          </w:p>
        </w:tc>
        <w:tc>
          <w:tcPr>
            <w:tcW w:w="4386" w:type="dxa"/>
          </w:tcPr>
          <w:p w:rsidR="00F63FA1" w:rsidRDefault="005A1538" w:rsidP="00EF0B06">
            <w:pPr>
              <w:pStyle w:val="NoSpacing"/>
              <w:rPr>
                <w:rFonts w:ascii="Arial Black" w:hAnsi="Arial Black"/>
                <w:b/>
                <w:sz w:val="24"/>
                <w:szCs w:val="24"/>
              </w:rPr>
            </w:pPr>
            <w:r w:rsidRPr="005A1538">
              <w:rPr>
                <w:rFonts w:ascii="Arial Black" w:hAnsi="Arial Black"/>
                <w:b/>
                <w:sz w:val="24"/>
                <w:szCs w:val="24"/>
              </w:rPr>
              <w:t>382 632</w:t>
            </w:r>
          </w:p>
        </w:tc>
        <w:tc>
          <w:tcPr>
            <w:tcW w:w="236" w:type="dxa"/>
          </w:tcPr>
          <w:p w:rsidR="00F63FA1" w:rsidRDefault="00F63FA1" w:rsidP="00EF0B06">
            <w:pPr>
              <w:pStyle w:val="NoSpacing"/>
              <w:rPr>
                <w:rFonts w:ascii="Arial Black" w:hAnsi="Arial Black"/>
                <w:b/>
                <w:sz w:val="24"/>
                <w:szCs w:val="24"/>
              </w:rPr>
            </w:pPr>
          </w:p>
        </w:tc>
      </w:tr>
      <w:tr w:rsidR="00F63FA1" w:rsidTr="00CE24C3">
        <w:tc>
          <w:tcPr>
            <w:tcW w:w="2310" w:type="dxa"/>
          </w:tcPr>
          <w:p w:rsidR="00F63FA1" w:rsidRDefault="00F63FA1" w:rsidP="00EF0B06">
            <w:pPr>
              <w:pStyle w:val="NoSpacing"/>
              <w:rPr>
                <w:rFonts w:ascii="Arial Black" w:hAnsi="Arial Black"/>
                <w:b/>
                <w:sz w:val="24"/>
                <w:szCs w:val="24"/>
              </w:rPr>
            </w:pPr>
            <w:r>
              <w:rPr>
                <w:rFonts w:ascii="Arial Black" w:hAnsi="Arial Black"/>
                <w:b/>
                <w:sz w:val="24"/>
                <w:szCs w:val="24"/>
              </w:rPr>
              <w:t>Sovereigns</w:t>
            </w:r>
          </w:p>
        </w:tc>
        <w:tc>
          <w:tcPr>
            <w:tcW w:w="2310" w:type="dxa"/>
          </w:tcPr>
          <w:p w:rsidR="00F63FA1" w:rsidRDefault="005A1538" w:rsidP="00EF0B06">
            <w:pPr>
              <w:pStyle w:val="NoSpacing"/>
              <w:rPr>
                <w:rFonts w:ascii="Arial Black" w:hAnsi="Arial Black"/>
                <w:b/>
                <w:sz w:val="24"/>
                <w:szCs w:val="24"/>
              </w:rPr>
            </w:pPr>
            <w:r w:rsidRPr="005A1538">
              <w:rPr>
                <w:rFonts w:ascii="Arial Black" w:hAnsi="Arial Black"/>
                <w:b/>
                <w:sz w:val="24"/>
                <w:szCs w:val="24"/>
              </w:rPr>
              <w:t>9 546 599</w:t>
            </w:r>
          </w:p>
        </w:tc>
        <w:tc>
          <w:tcPr>
            <w:tcW w:w="4386" w:type="dxa"/>
          </w:tcPr>
          <w:p w:rsidR="00F63FA1" w:rsidRDefault="005A1538" w:rsidP="00EF0B06">
            <w:pPr>
              <w:pStyle w:val="NoSpacing"/>
              <w:rPr>
                <w:rFonts w:ascii="Arial Black" w:hAnsi="Arial Black"/>
                <w:b/>
                <w:sz w:val="24"/>
                <w:szCs w:val="24"/>
              </w:rPr>
            </w:pPr>
            <w:r w:rsidRPr="005A1538">
              <w:rPr>
                <w:rFonts w:ascii="Arial Black" w:hAnsi="Arial Black"/>
                <w:b/>
                <w:sz w:val="24"/>
                <w:szCs w:val="24"/>
              </w:rPr>
              <w:t>62 575</w:t>
            </w:r>
          </w:p>
        </w:tc>
        <w:tc>
          <w:tcPr>
            <w:tcW w:w="236" w:type="dxa"/>
          </w:tcPr>
          <w:p w:rsidR="00F63FA1" w:rsidRDefault="00F63FA1" w:rsidP="00EF0B06">
            <w:pPr>
              <w:pStyle w:val="NoSpacing"/>
              <w:rPr>
                <w:rFonts w:ascii="Arial Black" w:hAnsi="Arial Black"/>
                <w:b/>
                <w:sz w:val="24"/>
                <w:szCs w:val="24"/>
              </w:rPr>
            </w:pPr>
          </w:p>
        </w:tc>
      </w:tr>
      <w:tr w:rsidR="00F63FA1" w:rsidTr="00CE24C3">
        <w:tc>
          <w:tcPr>
            <w:tcW w:w="2310" w:type="dxa"/>
          </w:tcPr>
          <w:p w:rsidR="00F63FA1" w:rsidRDefault="00F63FA1" w:rsidP="00EF0B06">
            <w:pPr>
              <w:pStyle w:val="NoSpacing"/>
              <w:rPr>
                <w:rFonts w:ascii="Arial Black" w:hAnsi="Arial Black"/>
                <w:b/>
                <w:sz w:val="24"/>
                <w:szCs w:val="24"/>
              </w:rPr>
            </w:pPr>
            <w:r>
              <w:rPr>
                <w:rFonts w:ascii="Arial Black" w:hAnsi="Arial Black"/>
                <w:b/>
                <w:sz w:val="24"/>
                <w:szCs w:val="24"/>
              </w:rPr>
              <w:t>Banks</w:t>
            </w:r>
          </w:p>
        </w:tc>
        <w:tc>
          <w:tcPr>
            <w:tcW w:w="2310" w:type="dxa"/>
          </w:tcPr>
          <w:p w:rsidR="00F63FA1" w:rsidRDefault="005A1538" w:rsidP="00EF0B06">
            <w:pPr>
              <w:pStyle w:val="NoSpacing"/>
              <w:rPr>
                <w:rFonts w:ascii="Arial Black" w:hAnsi="Arial Black"/>
                <w:b/>
                <w:sz w:val="24"/>
                <w:szCs w:val="24"/>
              </w:rPr>
            </w:pPr>
            <w:r w:rsidRPr="005A1538">
              <w:rPr>
                <w:rFonts w:ascii="Arial Black" w:hAnsi="Arial Black"/>
                <w:b/>
                <w:sz w:val="24"/>
                <w:szCs w:val="24"/>
              </w:rPr>
              <w:t>20 609 491</w:t>
            </w:r>
          </w:p>
        </w:tc>
        <w:tc>
          <w:tcPr>
            <w:tcW w:w="4386" w:type="dxa"/>
          </w:tcPr>
          <w:p w:rsidR="00F63FA1" w:rsidRDefault="005A1538" w:rsidP="00EF0B06">
            <w:pPr>
              <w:pStyle w:val="NoSpacing"/>
              <w:rPr>
                <w:rFonts w:ascii="Arial Black" w:hAnsi="Arial Black"/>
                <w:b/>
                <w:sz w:val="24"/>
                <w:szCs w:val="24"/>
              </w:rPr>
            </w:pPr>
            <w:r w:rsidRPr="005A1538">
              <w:rPr>
                <w:rFonts w:ascii="Arial Black" w:hAnsi="Arial Black"/>
                <w:b/>
                <w:sz w:val="24"/>
                <w:szCs w:val="24"/>
              </w:rPr>
              <w:t>1 682 097</w:t>
            </w:r>
          </w:p>
        </w:tc>
        <w:tc>
          <w:tcPr>
            <w:tcW w:w="236" w:type="dxa"/>
          </w:tcPr>
          <w:p w:rsidR="00F63FA1" w:rsidRDefault="00F63FA1" w:rsidP="00EF0B06">
            <w:pPr>
              <w:pStyle w:val="NoSpacing"/>
              <w:rPr>
                <w:rFonts w:ascii="Arial Black" w:hAnsi="Arial Black"/>
                <w:b/>
                <w:sz w:val="24"/>
                <w:szCs w:val="24"/>
              </w:rPr>
            </w:pPr>
          </w:p>
        </w:tc>
      </w:tr>
      <w:tr w:rsidR="00F63FA1" w:rsidTr="00CE24C3">
        <w:tc>
          <w:tcPr>
            <w:tcW w:w="2310" w:type="dxa"/>
          </w:tcPr>
          <w:p w:rsidR="00F63FA1" w:rsidRDefault="00F63FA1" w:rsidP="00EF0B06">
            <w:pPr>
              <w:pStyle w:val="NoSpacing"/>
              <w:rPr>
                <w:rFonts w:ascii="Arial Black" w:hAnsi="Arial Black"/>
                <w:b/>
                <w:sz w:val="24"/>
                <w:szCs w:val="24"/>
              </w:rPr>
            </w:pPr>
            <w:r>
              <w:rPr>
                <w:rFonts w:ascii="Arial Black" w:hAnsi="Arial Black"/>
                <w:b/>
                <w:sz w:val="24"/>
                <w:szCs w:val="24"/>
              </w:rPr>
              <w:t>Securities firms</w:t>
            </w:r>
          </w:p>
        </w:tc>
        <w:tc>
          <w:tcPr>
            <w:tcW w:w="2310" w:type="dxa"/>
          </w:tcPr>
          <w:p w:rsidR="00F63FA1" w:rsidRDefault="005A1538" w:rsidP="00EF0B06">
            <w:pPr>
              <w:pStyle w:val="NoSpacing"/>
              <w:rPr>
                <w:rFonts w:ascii="Arial Black" w:hAnsi="Arial Black"/>
                <w:b/>
                <w:sz w:val="24"/>
                <w:szCs w:val="24"/>
              </w:rPr>
            </w:pPr>
            <w:r w:rsidRPr="005A1538">
              <w:rPr>
                <w:rFonts w:ascii="Arial Black" w:hAnsi="Arial Black"/>
                <w:b/>
                <w:sz w:val="24"/>
                <w:szCs w:val="24"/>
              </w:rPr>
              <w:t>590 874</w:t>
            </w:r>
          </w:p>
        </w:tc>
        <w:tc>
          <w:tcPr>
            <w:tcW w:w="4386" w:type="dxa"/>
          </w:tcPr>
          <w:p w:rsidR="00F63FA1" w:rsidRDefault="005A1538" w:rsidP="00EF0B06">
            <w:pPr>
              <w:pStyle w:val="NoSpacing"/>
              <w:rPr>
                <w:rFonts w:ascii="Arial Black" w:hAnsi="Arial Black"/>
                <w:b/>
                <w:sz w:val="24"/>
                <w:szCs w:val="24"/>
              </w:rPr>
            </w:pPr>
            <w:r w:rsidRPr="005A1538">
              <w:rPr>
                <w:rFonts w:ascii="Arial Black" w:hAnsi="Arial Black"/>
                <w:b/>
                <w:sz w:val="24"/>
                <w:szCs w:val="24"/>
              </w:rPr>
              <w:t>33 041</w:t>
            </w:r>
          </w:p>
        </w:tc>
        <w:tc>
          <w:tcPr>
            <w:tcW w:w="236" w:type="dxa"/>
          </w:tcPr>
          <w:p w:rsidR="00F63FA1" w:rsidRDefault="00F63FA1" w:rsidP="00EF0B06">
            <w:pPr>
              <w:pStyle w:val="NoSpacing"/>
              <w:rPr>
                <w:rFonts w:ascii="Arial Black" w:hAnsi="Arial Black"/>
                <w:b/>
                <w:sz w:val="24"/>
                <w:szCs w:val="24"/>
              </w:rPr>
            </w:pPr>
          </w:p>
        </w:tc>
      </w:tr>
      <w:tr w:rsidR="00F63FA1" w:rsidTr="00CE24C3">
        <w:tc>
          <w:tcPr>
            <w:tcW w:w="2310" w:type="dxa"/>
          </w:tcPr>
          <w:p w:rsidR="00F63FA1" w:rsidRDefault="00F63FA1" w:rsidP="00EF0B06">
            <w:pPr>
              <w:pStyle w:val="NoSpacing"/>
              <w:rPr>
                <w:rFonts w:ascii="Arial Black" w:hAnsi="Arial Black"/>
                <w:b/>
                <w:sz w:val="24"/>
                <w:szCs w:val="24"/>
              </w:rPr>
            </w:pPr>
            <w:r>
              <w:rPr>
                <w:rFonts w:ascii="Arial Black" w:hAnsi="Arial Black"/>
                <w:b/>
                <w:sz w:val="24"/>
                <w:szCs w:val="24"/>
              </w:rPr>
              <w:t>Total</w:t>
            </w:r>
          </w:p>
        </w:tc>
        <w:tc>
          <w:tcPr>
            <w:tcW w:w="2310" w:type="dxa"/>
          </w:tcPr>
          <w:p w:rsidR="00F63FA1" w:rsidRDefault="009C0C1D" w:rsidP="00EF0B06">
            <w:pPr>
              <w:pStyle w:val="NoSpacing"/>
              <w:rPr>
                <w:rFonts w:ascii="Arial Black" w:hAnsi="Arial Black"/>
                <w:b/>
                <w:sz w:val="24"/>
                <w:szCs w:val="24"/>
              </w:rPr>
            </w:pPr>
            <w:r w:rsidRPr="009C0C1D">
              <w:rPr>
                <w:rFonts w:ascii="Arial Black" w:hAnsi="Arial Black"/>
                <w:b/>
                <w:sz w:val="24"/>
                <w:szCs w:val="24"/>
              </w:rPr>
              <w:t>71 475 073</w:t>
            </w:r>
          </w:p>
        </w:tc>
        <w:tc>
          <w:tcPr>
            <w:tcW w:w="4386" w:type="dxa"/>
          </w:tcPr>
          <w:p w:rsidR="00F63FA1" w:rsidRDefault="009C0C1D" w:rsidP="00EF0B06">
            <w:pPr>
              <w:pStyle w:val="NoSpacing"/>
              <w:rPr>
                <w:rFonts w:ascii="Arial Black" w:hAnsi="Arial Black"/>
                <w:b/>
                <w:sz w:val="24"/>
                <w:szCs w:val="24"/>
              </w:rPr>
            </w:pPr>
            <w:r>
              <w:rPr>
                <w:rFonts w:ascii="Arial Black" w:hAnsi="Arial Black"/>
                <w:b/>
                <w:sz w:val="24"/>
                <w:szCs w:val="24"/>
              </w:rPr>
              <w:t>18 446 981</w:t>
            </w:r>
          </w:p>
        </w:tc>
        <w:tc>
          <w:tcPr>
            <w:tcW w:w="236" w:type="dxa"/>
          </w:tcPr>
          <w:p w:rsidR="00F63FA1" w:rsidRDefault="00F63FA1" w:rsidP="00EF0B06">
            <w:pPr>
              <w:pStyle w:val="NoSpacing"/>
              <w:rPr>
                <w:rFonts w:ascii="Arial Black" w:hAnsi="Arial Black"/>
                <w:b/>
                <w:sz w:val="24"/>
                <w:szCs w:val="24"/>
              </w:rPr>
            </w:pPr>
          </w:p>
        </w:tc>
      </w:tr>
    </w:tbl>
    <w:p w:rsidR="00213B7B" w:rsidRPr="00EF0B06" w:rsidRDefault="00213B7B" w:rsidP="00EF0B06">
      <w:pPr>
        <w:pStyle w:val="NoSpacing"/>
        <w:rPr>
          <w:rFonts w:ascii="Arial Black" w:hAnsi="Arial Black"/>
          <w:b/>
          <w:sz w:val="24"/>
          <w:szCs w:val="24"/>
        </w:rPr>
      </w:pPr>
    </w:p>
    <w:p w:rsidR="00AE004C" w:rsidRDefault="00AE004C" w:rsidP="00EF0B06">
      <w:pPr>
        <w:pStyle w:val="NoSpacing"/>
        <w:rPr>
          <w:rFonts w:ascii="Arial Black" w:hAnsi="Arial Black"/>
          <w:b/>
          <w:sz w:val="24"/>
          <w:szCs w:val="24"/>
        </w:rPr>
      </w:pPr>
    </w:p>
    <w:tbl>
      <w:tblPr>
        <w:tblStyle w:val="TableGrid"/>
        <w:tblW w:w="0" w:type="auto"/>
        <w:tblLook w:val="04A0" w:firstRow="1" w:lastRow="0" w:firstColumn="1" w:lastColumn="0" w:noHBand="0" w:noVBand="1"/>
      </w:tblPr>
      <w:tblGrid>
        <w:gridCol w:w="4621"/>
        <w:gridCol w:w="4621"/>
      </w:tblGrid>
      <w:tr w:rsidR="00AE004C" w:rsidTr="00AE004C">
        <w:tc>
          <w:tcPr>
            <w:tcW w:w="4621" w:type="dxa"/>
          </w:tcPr>
          <w:p w:rsidR="00AE004C" w:rsidRDefault="00AE004C" w:rsidP="00EF0B06">
            <w:pPr>
              <w:pStyle w:val="NoSpacing"/>
              <w:rPr>
                <w:rFonts w:ascii="Arial Black" w:hAnsi="Arial Black"/>
                <w:b/>
                <w:sz w:val="24"/>
                <w:szCs w:val="24"/>
              </w:rPr>
            </w:pPr>
          </w:p>
        </w:tc>
        <w:tc>
          <w:tcPr>
            <w:tcW w:w="4621" w:type="dxa"/>
          </w:tcPr>
          <w:p w:rsidR="00AE004C" w:rsidRDefault="00AE004C" w:rsidP="00EF0B06">
            <w:pPr>
              <w:pStyle w:val="NoSpacing"/>
              <w:rPr>
                <w:rFonts w:ascii="Arial Black" w:hAnsi="Arial Black"/>
                <w:b/>
                <w:sz w:val="24"/>
                <w:szCs w:val="24"/>
              </w:rPr>
            </w:pPr>
          </w:p>
        </w:tc>
      </w:tr>
      <w:tr w:rsidR="00CE24C3" w:rsidTr="00CE24C3">
        <w:tc>
          <w:tcPr>
            <w:tcW w:w="4621" w:type="dxa"/>
            <w:shd w:val="clear" w:color="auto" w:fill="C6D9F1" w:themeFill="text2" w:themeFillTint="33"/>
          </w:tcPr>
          <w:p w:rsidR="00CE24C3" w:rsidRDefault="00CE24C3" w:rsidP="005063DF">
            <w:pPr>
              <w:pStyle w:val="NoSpacing"/>
              <w:rPr>
                <w:rFonts w:ascii="Arial Black" w:hAnsi="Arial Black"/>
                <w:sz w:val="24"/>
                <w:szCs w:val="24"/>
              </w:rPr>
            </w:pPr>
            <w:r w:rsidRPr="00CE24C3">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31 Dec 2014  </w:t>
            </w:r>
            <w:r>
              <w:rPr>
                <w:rFonts w:ascii="Arial Black" w:hAnsi="Arial Black"/>
                <w:b/>
                <w:sz w:val="24"/>
                <w:szCs w:val="24"/>
              </w:rPr>
              <w:t>ZAR ‘000</w:t>
            </w:r>
          </w:p>
        </w:tc>
        <w:tc>
          <w:tcPr>
            <w:tcW w:w="4621" w:type="dxa"/>
            <w:shd w:val="clear" w:color="auto" w:fill="C6D9F1" w:themeFill="text2" w:themeFillTint="33"/>
          </w:tcPr>
          <w:p w:rsidR="00CE24C3" w:rsidRDefault="00CE24C3" w:rsidP="005063DF">
            <w:pPr>
              <w:pStyle w:val="NoSpacing"/>
              <w:rPr>
                <w:rFonts w:ascii="Arial Black" w:hAnsi="Arial Black"/>
                <w:sz w:val="24"/>
                <w:szCs w:val="24"/>
              </w:rPr>
            </w:pPr>
            <w:r>
              <w:rPr>
                <w:rFonts w:ascii="Arial Black" w:hAnsi="Arial Black"/>
                <w:sz w:val="24"/>
                <w:szCs w:val="24"/>
              </w:rPr>
              <w:t>Total</w:t>
            </w:r>
          </w:p>
        </w:tc>
      </w:tr>
      <w:tr w:rsidR="00AE004C" w:rsidTr="00AE004C">
        <w:tc>
          <w:tcPr>
            <w:tcW w:w="4621" w:type="dxa"/>
          </w:tcPr>
          <w:p w:rsidR="00AE004C" w:rsidRDefault="00CE24C3" w:rsidP="00CE24C3">
            <w:pPr>
              <w:pStyle w:val="NoSpacing"/>
              <w:rPr>
                <w:rFonts w:ascii="Arial Black" w:hAnsi="Arial Black"/>
                <w:b/>
                <w:sz w:val="24"/>
                <w:szCs w:val="24"/>
              </w:rPr>
            </w:pPr>
            <w:r>
              <w:rPr>
                <w:rFonts w:ascii="Arial Black" w:hAnsi="Arial Black"/>
                <w:b/>
                <w:sz w:val="24"/>
                <w:szCs w:val="24"/>
              </w:rPr>
              <w:t>Off Balance Sheet post CCF</w:t>
            </w:r>
          </w:p>
        </w:tc>
        <w:tc>
          <w:tcPr>
            <w:tcW w:w="4621" w:type="dxa"/>
          </w:tcPr>
          <w:p w:rsidR="00AE004C" w:rsidRDefault="00B31B67" w:rsidP="00EF0B06">
            <w:pPr>
              <w:pStyle w:val="NoSpacing"/>
              <w:rPr>
                <w:rFonts w:ascii="Arial Black" w:hAnsi="Arial Black"/>
                <w:b/>
                <w:sz w:val="24"/>
                <w:szCs w:val="24"/>
              </w:rPr>
            </w:pPr>
            <w:r>
              <w:rPr>
                <w:rFonts w:ascii="Arial Black" w:hAnsi="Arial Black"/>
                <w:b/>
                <w:sz w:val="24"/>
                <w:szCs w:val="24"/>
              </w:rPr>
              <w:t>6 099 683</w:t>
            </w:r>
          </w:p>
        </w:tc>
      </w:tr>
    </w:tbl>
    <w:p w:rsidR="00AE004C" w:rsidRDefault="00AE004C" w:rsidP="00EF0B06">
      <w:pPr>
        <w:pStyle w:val="NoSpacing"/>
        <w:rPr>
          <w:rFonts w:ascii="Arial Black" w:hAnsi="Arial Black"/>
          <w:b/>
          <w:sz w:val="24"/>
          <w:szCs w:val="24"/>
        </w:rPr>
      </w:pPr>
    </w:p>
    <w:p w:rsidR="001D38ED" w:rsidRDefault="001D38ED" w:rsidP="00EF0B06">
      <w:pPr>
        <w:pStyle w:val="NoSpacing"/>
        <w:rPr>
          <w:rFonts w:ascii="Arial Black" w:hAnsi="Arial Black"/>
          <w:b/>
          <w:sz w:val="24"/>
          <w:szCs w:val="24"/>
        </w:rPr>
      </w:pPr>
    </w:p>
    <w:p w:rsidR="00EF0B06" w:rsidRDefault="00A44EE1" w:rsidP="00EF0B06">
      <w:pPr>
        <w:pStyle w:val="NoSpacing"/>
        <w:rPr>
          <w:rFonts w:ascii="Arial Black" w:hAnsi="Arial Black"/>
          <w:b/>
          <w:sz w:val="24"/>
          <w:szCs w:val="24"/>
        </w:rPr>
      </w:pPr>
      <w:r>
        <w:rPr>
          <w:rFonts w:ascii="Arial Black" w:hAnsi="Arial Black"/>
          <w:b/>
          <w:sz w:val="24"/>
          <w:szCs w:val="24"/>
        </w:rPr>
        <w:lastRenderedPageBreak/>
        <w:t>The tables below illustrate the geographical distribution of the credit exposures,</w:t>
      </w:r>
      <w:r w:rsidR="002B67C2">
        <w:rPr>
          <w:rFonts w:ascii="Arial Black" w:hAnsi="Arial Black"/>
          <w:b/>
          <w:sz w:val="24"/>
          <w:szCs w:val="24"/>
        </w:rPr>
        <w:t xml:space="preserve"> credit rating of counterparties</w:t>
      </w:r>
      <w:r>
        <w:rPr>
          <w:rFonts w:ascii="Arial Black" w:hAnsi="Arial Black"/>
          <w:b/>
          <w:sz w:val="24"/>
          <w:szCs w:val="24"/>
        </w:rPr>
        <w:t xml:space="preserve"> including the industry type and the maturity breakdown:</w:t>
      </w:r>
    </w:p>
    <w:p w:rsidR="001D38ED" w:rsidRDefault="001D38ED" w:rsidP="00EF0B06">
      <w:pPr>
        <w:pStyle w:val="NoSpacing"/>
        <w:rPr>
          <w:rFonts w:ascii="Arial Black" w:hAnsi="Arial Black"/>
          <w:b/>
          <w:sz w:val="24"/>
          <w:szCs w:val="24"/>
        </w:rPr>
      </w:pPr>
    </w:p>
    <w:p w:rsidR="001D38ED" w:rsidRPr="00EF0B06" w:rsidRDefault="001D38ED" w:rsidP="00EF0B06">
      <w:pPr>
        <w:pStyle w:val="NoSpacing"/>
        <w:rPr>
          <w:rFonts w:ascii="Arial Black" w:hAnsi="Arial Black"/>
          <w:b/>
          <w:sz w:val="24"/>
          <w:szCs w:val="24"/>
        </w:rPr>
      </w:pPr>
    </w:p>
    <w:p w:rsidR="00ED128E" w:rsidRDefault="002B67C2" w:rsidP="00EF0B06">
      <w:pPr>
        <w:pStyle w:val="NoSpacing"/>
        <w:rPr>
          <w:rFonts w:ascii="Arial Black" w:hAnsi="Arial Black"/>
          <w:sz w:val="24"/>
          <w:szCs w:val="24"/>
        </w:rPr>
      </w:pPr>
      <w:r>
        <w:rPr>
          <w:rFonts w:ascii="Arial Black" w:hAnsi="Arial Black"/>
          <w:sz w:val="24"/>
          <w:szCs w:val="24"/>
        </w:rPr>
        <w:t>Credit concentration per geography</w:t>
      </w:r>
    </w:p>
    <w:tbl>
      <w:tblPr>
        <w:tblStyle w:val="TableGrid"/>
        <w:tblW w:w="0" w:type="auto"/>
        <w:tblLook w:val="04A0" w:firstRow="1" w:lastRow="0" w:firstColumn="1" w:lastColumn="0" w:noHBand="0" w:noVBand="1"/>
      </w:tblPr>
      <w:tblGrid>
        <w:gridCol w:w="6912"/>
        <w:gridCol w:w="2330"/>
      </w:tblGrid>
      <w:tr w:rsidR="00651949" w:rsidTr="001D38ED">
        <w:tc>
          <w:tcPr>
            <w:tcW w:w="6912" w:type="dxa"/>
            <w:shd w:val="clear" w:color="auto" w:fill="C6D9F1" w:themeFill="text2" w:themeFillTint="33"/>
          </w:tcPr>
          <w:p w:rsidR="00651949" w:rsidRDefault="00651949" w:rsidP="00EF0B06">
            <w:pPr>
              <w:pStyle w:val="NoSpacing"/>
              <w:rPr>
                <w:rFonts w:ascii="Arial Black" w:hAnsi="Arial Black"/>
                <w:sz w:val="24"/>
                <w:szCs w:val="24"/>
              </w:rPr>
            </w:pPr>
            <w:r w:rsidRPr="00651949">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31 Dec 2014 </w:t>
            </w:r>
            <w:r>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Pr>
                <w:rFonts w:ascii="Arial Black" w:hAnsi="Arial Black"/>
                <w:b/>
                <w:sz w:val="24"/>
                <w:szCs w:val="24"/>
              </w:rPr>
              <w:t>ZAR ‘000</w:t>
            </w:r>
          </w:p>
        </w:tc>
        <w:tc>
          <w:tcPr>
            <w:tcW w:w="2330" w:type="dxa"/>
            <w:shd w:val="clear" w:color="auto" w:fill="C6D9F1" w:themeFill="text2" w:themeFillTint="33"/>
          </w:tcPr>
          <w:p w:rsidR="00651949" w:rsidRDefault="00651949" w:rsidP="00EF0B06">
            <w:pPr>
              <w:pStyle w:val="NoSpacing"/>
              <w:rPr>
                <w:rFonts w:ascii="Arial Black" w:hAnsi="Arial Black"/>
                <w:sz w:val="24"/>
                <w:szCs w:val="24"/>
              </w:rPr>
            </w:pPr>
            <w:r>
              <w:rPr>
                <w:rFonts w:ascii="Arial Black" w:hAnsi="Arial Black"/>
                <w:sz w:val="24"/>
                <w:szCs w:val="24"/>
              </w:rPr>
              <w:t>Total</w:t>
            </w:r>
          </w:p>
        </w:tc>
      </w:tr>
      <w:tr w:rsidR="00651949" w:rsidTr="00651949">
        <w:tc>
          <w:tcPr>
            <w:tcW w:w="6912" w:type="dxa"/>
          </w:tcPr>
          <w:p w:rsidR="00651949" w:rsidRDefault="00651949" w:rsidP="00EF0B06">
            <w:pPr>
              <w:pStyle w:val="NoSpacing"/>
              <w:rPr>
                <w:rFonts w:ascii="Arial Black" w:hAnsi="Arial Black"/>
                <w:sz w:val="24"/>
                <w:szCs w:val="24"/>
              </w:rPr>
            </w:pPr>
            <w:r>
              <w:rPr>
                <w:rFonts w:ascii="Arial Black" w:hAnsi="Arial Black"/>
                <w:sz w:val="24"/>
                <w:szCs w:val="24"/>
              </w:rPr>
              <w:t>South Africa</w:t>
            </w:r>
          </w:p>
        </w:tc>
        <w:tc>
          <w:tcPr>
            <w:tcW w:w="2330" w:type="dxa"/>
          </w:tcPr>
          <w:p w:rsidR="00651949" w:rsidRDefault="00EA718E" w:rsidP="00EF0B06">
            <w:pPr>
              <w:pStyle w:val="NoSpacing"/>
              <w:rPr>
                <w:rFonts w:ascii="Arial Black" w:hAnsi="Arial Black"/>
                <w:sz w:val="24"/>
                <w:szCs w:val="24"/>
              </w:rPr>
            </w:pPr>
            <w:r w:rsidRPr="00EA718E">
              <w:rPr>
                <w:rFonts w:ascii="Arial Black" w:hAnsi="Arial Black"/>
                <w:sz w:val="24"/>
                <w:szCs w:val="24"/>
              </w:rPr>
              <w:t>37 111 730</w:t>
            </w:r>
          </w:p>
        </w:tc>
      </w:tr>
      <w:tr w:rsidR="00651949" w:rsidTr="00651949">
        <w:tc>
          <w:tcPr>
            <w:tcW w:w="6912" w:type="dxa"/>
          </w:tcPr>
          <w:p w:rsidR="00651949" w:rsidRDefault="00651949" w:rsidP="00EF0B06">
            <w:pPr>
              <w:pStyle w:val="NoSpacing"/>
              <w:rPr>
                <w:rFonts w:ascii="Arial Black" w:hAnsi="Arial Black"/>
                <w:sz w:val="24"/>
                <w:szCs w:val="24"/>
              </w:rPr>
            </w:pPr>
            <w:r>
              <w:rPr>
                <w:rFonts w:ascii="Arial Black" w:hAnsi="Arial Black"/>
                <w:sz w:val="24"/>
                <w:szCs w:val="24"/>
              </w:rPr>
              <w:t>Africa</w:t>
            </w:r>
          </w:p>
        </w:tc>
        <w:tc>
          <w:tcPr>
            <w:tcW w:w="2330" w:type="dxa"/>
          </w:tcPr>
          <w:p w:rsidR="00651949" w:rsidRDefault="00EA718E" w:rsidP="00EF0B06">
            <w:pPr>
              <w:pStyle w:val="NoSpacing"/>
              <w:rPr>
                <w:rFonts w:ascii="Arial Black" w:hAnsi="Arial Black"/>
                <w:sz w:val="24"/>
                <w:szCs w:val="24"/>
              </w:rPr>
            </w:pPr>
            <w:r w:rsidRPr="00EA718E">
              <w:rPr>
                <w:rFonts w:ascii="Arial Black" w:hAnsi="Arial Black"/>
                <w:sz w:val="24"/>
                <w:szCs w:val="24"/>
              </w:rPr>
              <w:t>886 330</w:t>
            </w:r>
          </w:p>
        </w:tc>
      </w:tr>
      <w:tr w:rsidR="00651949" w:rsidTr="00651949">
        <w:tc>
          <w:tcPr>
            <w:tcW w:w="6912" w:type="dxa"/>
          </w:tcPr>
          <w:p w:rsidR="00651949" w:rsidRDefault="00651949" w:rsidP="00EF0B06">
            <w:pPr>
              <w:pStyle w:val="NoSpacing"/>
              <w:rPr>
                <w:rFonts w:ascii="Arial Black" w:hAnsi="Arial Black"/>
                <w:sz w:val="24"/>
                <w:szCs w:val="24"/>
              </w:rPr>
            </w:pPr>
            <w:r>
              <w:rPr>
                <w:rFonts w:ascii="Arial Black" w:hAnsi="Arial Black"/>
                <w:sz w:val="24"/>
                <w:szCs w:val="24"/>
              </w:rPr>
              <w:t>Europe</w:t>
            </w:r>
          </w:p>
        </w:tc>
        <w:tc>
          <w:tcPr>
            <w:tcW w:w="2330" w:type="dxa"/>
          </w:tcPr>
          <w:p w:rsidR="00651949" w:rsidRDefault="00D00FAF" w:rsidP="00EF0B06">
            <w:pPr>
              <w:pStyle w:val="NoSpacing"/>
              <w:rPr>
                <w:rFonts w:ascii="Arial Black" w:hAnsi="Arial Black"/>
                <w:sz w:val="24"/>
                <w:szCs w:val="24"/>
              </w:rPr>
            </w:pPr>
            <w:r w:rsidRPr="00D00FAF">
              <w:rPr>
                <w:rFonts w:ascii="Arial Black" w:hAnsi="Arial Black"/>
                <w:sz w:val="24"/>
                <w:szCs w:val="24"/>
              </w:rPr>
              <w:t>4 273 745</w:t>
            </w:r>
          </w:p>
        </w:tc>
      </w:tr>
      <w:tr w:rsidR="00651949" w:rsidTr="00651949">
        <w:tc>
          <w:tcPr>
            <w:tcW w:w="6912" w:type="dxa"/>
          </w:tcPr>
          <w:p w:rsidR="00651949" w:rsidRDefault="00651949" w:rsidP="00EF0B06">
            <w:pPr>
              <w:pStyle w:val="NoSpacing"/>
              <w:rPr>
                <w:rFonts w:ascii="Arial Black" w:hAnsi="Arial Black"/>
                <w:sz w:val="24"/>
                <w:szCs w:val="24"/>
              </w:rPr>
            </w:pPr>
            <w:r>
              <w:rPr>
                <w:rFonts w:ascii="Arial Black" w:hAnsi="Arial Black"/>
                <w:sz w:val="24"/>
                <w:szCs w:val="24"/>
              </w:rPr>
              <w:t>Asia</w:t>
            </w:r>
          </w:p>
        </w:tc>
        <w:tc>
          <w:tcPr>
            <w:tcW w:w="2330" w:type="dxa"/>
          </w:tcPr>
          <w:p w:rsidR="00651949" w:rsidRDefault="00D00FAF" w:rsidP="00EF0B06">
            <w:pPr>
              <w:pStyle w:val="NoSpacing"/>
              <w:rPr>
                <w:rFonts w:ascii="Arial Black" w:hAnsi="Arial Black"/>
                <w:sz w:val="24"/>
                <w:szCs w:val="24"/>
              </w:rPr>
            </w:pPr>
            <w:r w:rsidRPr="00D00FAF">
              <w:rPr>
                <w:rFonts w:ascii="Arial Black" w:hAnsi="Arial Black"/>
                <w:sz w:val="24"/>
                <w:szCs w:val="24"/>
              </w:rPr>
              <w:t>27 080</w:t>
            </w:r>
          </w:p>
        </w:tc>
      </w:tr>
      <w:tr w:rsidR="00651949" w:rsidTr="00651949">
        <w:tc>
          <w:tcPr>
            <w:tcW w:w="6912" w:type="dxa"/>
          </w:tcPr>
          <w:p w:rsidR="00651949" w:rsidRDefault="00651949" w:rsidP="00EF0B06">
            <w:pPr>
              <w:pStyle w:val="NoSpacing"/>
              <w:rPr>
                <w:rFonts w:ascii="Arial Black" w:hAnsi="Arial Black"/>
                <w:sz w:val="24"/>
                <w:szCs w:val="24"/>
              </w:rPr>
            </w:pPr>
            <w:r>
              <w:rPr>
                <w:rFonts w:ascii="Arial Black" w:hAnsi="Arial Black"/>
                <w:sz w:val="24"/>
                <w:szCs w:val="24"/>
              </w:rPr>
              <w:t>North America</w:t>
            </w:r>
          </w:p>
        </w:tc>
        <w:tc>
          <w:tcPr>
            <w:tcW w:w="2330" w:type="dxa"/>
          </w:tcPr>
          <w:p w:rsidR="00651949" w:rsidRDefault="00D00FAF" w:rsidP="00EF0B06">
            <w:pPr>
              <w:pStyle w:val="NoSpacing"/>
              <w:rPr>
                <w:rFonts w:ascii="Arial Black" w:hAnsi="Arial Black"/>
                <w:sz w:val="24"/>
                <w:szCs w:val="24"/>
              </w:rPr>
            </w:pPr>
            <w:r w:rsidRPr="00D00FAF">
              <w:rPr>
                <w:rFonts w:ascii="Arial Black" w:hAnsi="Arial Black"/>
                <w:sz w:val="24"/>
                <w:szCs w:val="24"/>
              </w:rPr>
              <w:t>2 344 444</w:t>
            </w:r>
          </w:p>
        </w:tc>
      </w:tr>
      <w:tr w:rsidR="00651949" w:rsidTr="00651949">
        <w:tc>
          <w:tcPr>
            <w:tcW w:w="6912" w:type="dxa"/>
          </w:tcPr>
          <w:p w:rsidR="00651949" w:rsidRDefault="00651949" w:rsidP="00EF0B06">
            <w:pPr>
              <w:pStyle w:val="NoSpacing"/>
              <w:rPr>
                <w:rFonts w:ascii="Arial Black" w:hAnsi="Arial Black"/>
                <w:sz w:val="24"/>
                <w:szCs w:val="24"/>
              </w:rPr>
            </w:pPr>
            <w:r>
              <w:rPr>
                <w:rFonts w:ascii="Arial Black" w:hAnsi="Arial Black"/>
                <w:sz w:val="24"/>
                <w:szCs w:val="24"/>
              </w:rPr>
              <w:t>South America</w:t>
            </w:r>
          </w:p>
        </w:tc>
        <w:tc>
          <w:tcPr>
            <w:tcW w:w="2330" w:type="dxa"/>
          </w:tcPr>
          <w:p w:rsidR="00651949" w:rsidRDefault="00D00FAF" w:rsidP="00EF0B06">
            <w:pPr>
              <w:pStyle w:val="NoSpacing"/>
              <w:rPr>
                <w:rFonts w:ascii="Arial Black" w:hAnsi="Arial Black"/>
                <w:sz w:val="24"/>
                <w:szCs w:val="24"/>
              </w:rPr>
            </w:pPr>
            <w:r>
              <w:rPr>
                <w:rFonts w:ascii="Arial Black" w:hAnsi="Arial Black"/>
                <w:sz w:val="24"/>
                <w:szCs w:val="24"/>
              </w:rPr>
              <w:t>-</w:t>
            </w:r>
          </w:p>
        </w:tc>
      </w:tr>
      <w:tr w:rsidR="00651949" w:rsidTr="00651949">
        <w:tc>
          <w:tcPr>
            <w:tcW w:w="6912" w:type="dxa"/>
          </w:tcPr>
          <w:p w:rsidR="00651949" w:rsidRDefault="00651949" w:rsidP="00EF0B06">
            <w:pPr>
              <w:pStyle w:val="NoSpacing"/>
              <w:rPr>
                <w:rFonts w:ascii="Arial Black" w:hAnsi="Arial Black"/>
                <w:sz w:val="24"/>
                <w:szCs w:val="24"/>
              </w:rPr>
            </w:pPr>
            <w:r>
              <w:rPr>
                <w:rFonts w:ascii="Arial Black" w:hAnsi="Arial Black"/>
                <w:sz w:val="24"/>
                <w:szCs w:val="24"/>
              </w:rPr>
              <w:t>Other</w:t>
            </w:r>
          </w:p>
        </w:tc>
        <w:tc>
          <w:tcPr>
            <w:tcW w:w="2330" w:type="dxa"/>
          </w:tcPr>
          <w:p w:rsidR="00651949" w:rsidRDefault="00D00FAF" w:rsidP="00EF0B06">
            <w:pPr>
              <w:pStyle w:val="NoSpacing"/>
              <w:rPr>
                <w:rFonts w:ascii="Arial Black" w:hAnsi="Arial Black"/>
                <w:sz w:val="24"/>
                <w:szCs w:val="24"/>
              </w:rPr>
            </w:pPr>
            <w:r w:rsidRPr="00D00FAF">
              <w:rPr>
                <w:rFonts w:ascii="Arial Black" w:hAnsi="Arial Black"/>
                <w:sz w:val="24"/>
                <w:szCs w:val="24"/>
              </w:rPr>
              <w:t>26 831 744</w:t>
            </w:r>
          </w:p>
        </w:tc>
      </w:tr>
    </w:tbl>
    <w:p w:rsidR="00A44EE1" w:rsidRDefault="00A44EE1" w:rsidP="00EF0B06">
      <w:pPr>
        <w:pStyle w:val="NoSpacing"/>
        <w:rPr>
          <w:rFonts w:ascii="Arial Black" w:hAnsi="Arial Black"/>
          <w:sz w:val="24"/>
          <w:szCs w:val="24"/>
        </w:rPr>
      </w:pPr>
    </w:p>
    <w:p w:rsidR="002B67C2" w:rsidRDefault="002B67C2" w:rsidP="00EF0B06">
      <w:pPr>
        <w:pStyle w:val="NoSpacing"/>
        <w:rPr>
          <w:rFonts w:ascii="Arial Black" w:hAnsi="Arial Black"/>
          <w:sz w:val="24"/>
          <w:szCs w:val="24"/>
        </w:rPr>
      </w:pPr>
      <w:r>
        <w:rPr>
          <w:rFonts w:ascii="Arial Black" w:hAnsi="Arial Black"/>
          <w:sz w:val="24"/>
          <w:szCs w:val="24"/>
        </w:rPr>
        <w:t>Industry type</w:t>
      </w:r>
    </w:p>
    <w:tbl>
      <w:tblPr>
        <w:tblStyle w:val="TableGrid"/>
        <w:tblW w:w="0" w:type="auto"/>
        <w:tblLook w:val="04A0" w:firstRow="1" w:lastRow="0" w:firstColumn="1" w:lastColumn="0" w:noHBand="0" w:noVBand="1"/>
      </w:tblPr>
      <w:tblGrid>
        <w:gridCol w:w="6912"/>
        <w:gridCol w:w="2330"/>
      </w:tblGrid>
      <w:tr w:rsidR="002B67C2" w:rsidTr="001D38ED">
        <w:tc>
          <w:tcPr>
            <w:tcW w:w="6912" w:type="dxa"/>
            <w:shd w:val="clear" w:color="auto" w:fill="C6D9F1" w:themeFill="text2" w:themeFillTint="33"/>
          </w:tcPr>
          <w:p w:rsidR="002B67C2" w:rsidRDefault="002B67C2" w:rsidP="00EF0B06">
            <w:pPr>
              <w:pStyle w:val="NoSpacing"/>
              <w:rPr>
                <w:rFonts w:ascii="Arial Black" w:hAnsi="Arial Black"/>
                <w:sz w:val="24"/>
                <w:szCs w:val="24"/>
              </w:rPr>
            </w:pPr>
            <w:r w:rsidRPr="00651949">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31 Dec 2014 </w:t>
            </w:r>
            <w:r>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Pr>
                <w:rFonts w:ascii="Arial Black" w:hAnsi="Arial Black"/>
                <w:b/>
                <w:sz w:val="24"/>
                <w:szCs w:val="24"/>
              </w:rPr>
              <w:t>ZAR ‘000</w:t>
            </w:r>
          </w:p>
        </w:tc>
        <w:tc>
          <w:tcPr>
            <w:tcW w:w="2330" w:type="dxa"/>
            <w:shd w:val="clear" w:color="auto" w:fill="C6D9F1" w:themeFill="text2" w:themeFillTint="33"/>
          </w:tcPr>
          <w:p w:rsidR="002B67C2" w:rsidRDefault="002B67C2" w:rsidP="00EF0B06">
            <w:pPr>
              <w:pStyle w:val="NoSpacing"/>
              <w:rPr>
                <w:rFonts w:ascii="Arial Black" w:hAnsi="Arial Black"/>
                <w:sz w:val="24"/>
                <w:szCs w:val="24"/>
              </w:rPr>
            </w:pPr>
            <w:r>
              <w:rPr>
                <w:rFonts w:ascii="Arial Black" w:hAnsi="Arial Black"/>
                <w:sz w:val="24"/>
                <w:szCs w:val="24"/>
              </w:rPr>
              <w:t>Total</w:t>
            </w:r>
          </w:p>
        </w:tc>
      </w:tr>
      <w:tr w:rsidR="002B67C2" w:rsidTr="002B67C2">
        <w:tc>
          <w:tcPr>
            <w:tcW w:w="6912" w:type="dxa"/>
          </w:tcPr>
          <w:p w:rsidR="002B67C2" w:rsidRDefault="002B67C2" w:rsidP="00EF0B06">
            <w:pPr>
              <w:pStyle w:val="NoSpacing"/>
              <w:rPr>
                <w:rFonts w:ascii="Arial Black" w:hAnsi="Arial Black"/>
                <w:sz w:val="24"/>
                <w:szCs w:val="24"/>
              </w:rPr>
            </w:pPr>
            <w:r>
              <w:rPr>
                <w:rFonts w:ascii="Arial Black" w:hAnsi="Arial Black"/>
                <w:sz w:val="24"/>
                <w:szCs w:val="24"/>
              </w:rPr>
              <w:t>Agriculture</w:t>
            </w:r>
          </w:p>
        </w:tc>
        <w:tc>
          <w:tcPr>
            <w:tcW w:w="2330" w:type="dxa"/>
          </w:tcPr>
          <w:p w:rsidR="002B67C2" w:rsidRDefault="0097353E" w:rsidP="00EF0B06">
            <w:pPr>
              <w:pStyle w:val="NoSpacing"/>
              <w:rPr>
                <w:rFonts w:ascii="Arial Black" w:hAnsi="Arial Black"/>
                <w:sz w:val="24"/>
                <w:szCs w:val="24"/>
              </w:rPr>
            </w:pPr>
            <w:r w:rsidRPr="0097353E">
              <w:rPr>
                <w:rFonts w:ascii="Arial Black" w:hAnsi="Arial Black"/>
                <w:sz w:val="24"/>
                <w:szCs w:val="24"/>
              </w:rPr>
              <w:t>169 913</w:t>
            </w:r>
          </w:p>
        </w:tc>
      </w:tr>
      <w:tr w:rsidR="002B67C2" w:rsidTr="002B67C2">
        <w:tc>
          <w:tcPr>
            <w:tcW w:w="6912" w:type="dxa"/>
          </w:tcPr>
          <w:p w:rsidR="002B67C2" w:rsidRDefault="002B67C2" w:rsidP="00EF0B06">
            <w:pPr>
              <w:pStyle w:val="NoSpacing"/>
              <w:rPr>
                <w:rFonts w:ascii="Arial Black" w:hAnsi="Arial Black"/>
                <w:sz w:val="24"/>
                <w:szCs w:val="24"/>
              </w:rPr>
            </w:pPr>
            <w:r>
              <w:rPr>
                <w:rFonts w:ascii="Arial Black" w:hAnsi="Arial Black"/>
                <w:sz w:val="24"/>
                <w:szCs w:val="24"/>
              </w:rPr>
              <w:t>Mining</w:t>
            </w:r>
          </w:p>
        </w:tc>
        <w:tc>
          <w:tcPr>
            <w:tcW w:w="2330" w:type="dxa"/>
          </w:tcPr>
          <w:p w:rsidR="002B67C2" w:rsidRDefault="0097353E" w:rsidP="00EF0B06">
            <w:pPr>
              <w:pStyle w:val="NoSpacing"/>
              <w:rPr>
                <w:rFonts w:ascii="Arial Black" w:hAnsi="Arial Black"/>
                <w:sz w:val="24"/>
                <w:szCs w:val="24"/>
              </w:rPr>
            </w:pPr>
            <w:r w:rsidRPr="0097353E">
              <w:rPr>
                <w:rFonts w:ascii="Arial Black" w:hAnsi="Arial Black"/>
                <w:sz w:val="24"/>
                <w:szCs w:val="24"/>
              </w:rPr>
              <w:t>1 370 844</w:t>
            </w:r>
          </w:p>
        </w:tc>
      </w:tr>
      <w:tr w:rsidR="002B67C2" w:rsidTr="002B67C2">
        <w:tc>
          <w:tcPr>
            <w:tcW w:w="6912" w:type="dxa"/>
          </w:tcPr>
          <w:p w:rsidR="002B67C2" w:rsidRDefault="00FC5990" w:rsidP="00EF0B06">
            <w:pPr>
              <w:pStyle w:val="NoSpacing"/>
              <w:rPr>
                <w:rFonts w:ascii="Arial Black" w:hAnsi="Arial Black"/>
                <w:sz w:val="24"/>
                <w:szCs w:val="24"/>
              </w:rPr>
            </w:pPr>
            <w:r>
              <w:rPr>
                <w:rFonts w:ascii="Arial Black" w:hAnsi="Arial Black"/>
                <w:sz w:val="24"/>
                <w:szCs w:val="24"/>
              </w:rPr>
              <w:t>Manufacturing</w:t>
            </w:r>
          </w:p>
        </w:tc>
        <w:tc>
          <w:tcPr>
            <w:tcW w:w="2330" w:type="dxa"/>
          </w:tcPr>
          <w:p w:rsidR="002B67C2" w:rsidRDefault="0097353E" w:rsidP="00EF0B06">
            <w:pPr>
              <w:pStyle w:val="NoSpacing"/>
              <w:rPr>
                <w:rFonts w:ascii="Arial Black" w:hAnsi="Arial Black"/>
                <w:sz w:val="24"/>
                <w:szCs w:val="24"/>
              </w:rPr>
            </w:pPr>
            <w:r w:rsidRPr="0097353E">
              <w:rPr>
                <w:rFonts w:ascii="Arial Black" w:hAnsi="Arial Black"/>
                <w:sz w:val="24"/>
                <w:szCs w:val="24"/>
              </w:rPr>
              <w:t>5 098 156</w:t>
            </w:r>
          </w:p>
        </w:tc>
      </w:tr>
      <w:tr w:rsidR="002B67C2" w:rsidTr="002B67C2">
        <w:tc>
          <w:tcPr>
            <w:tcW w:w="6912" w:type="dxa"/>
          </w:tcPr>
          <w:p w:rsidR="002B67C2" w:rsidRDefault="00FC5990" w:rsidP="00EF0B06">
            <w:pPr>
              <w:pStyle w:val="NoSpacing"/>
              <w:rPr>
                <w:rFonts w:ascii="Arial Black" w:hAnsi="Arial Black"/>
                <w:sz w:val="24"/>
                <w:szCs w:val="24"/>
              </w:rPr>
            </w:pPr>
            <w:r>
              <w:rPr>
                <w:rFonts w:ascii="Arial Black" w:hAnsi="Arial Black"/>
                <w:sz w:val="24"/>
                <w:szCs w:val="24"/>
              </w:rPr>
              <w:t>Electricity, gas &amp; water</w:t>
            </w:r>
          </w:p>
        </w:tc>
        <w:tc>
          <w:tcPr>
            <w:tcW w:w="2330" w:type="dxa"/>
          </w:tcPr>
          <w:p w:rsidR="002B67C2" w:rsidRDefault="0097353E" w:rsidP="00EF0B06">
            <w:pPr>
              <w:pStyle w:val="NoSpacing"/>
              <w:rPr>
                <w:rFonts w:ascii="Arial Black" w:hAnsi="Arial Black"/>
                <w:sz w:val="24"/>
                <w:szCs w:val="24"/>
              </w:rPr>
            </w:pPr>
            <w:r w:rsidRPr="0097353E">
              <w:rPr>
                <w:rFonts w:ascii="Arial Black" w:hAnsi="Arial Black"/>
                <w:sz w:val="24"/>
                <w:szCs w:val="24"/>
              </w:rPr>
              <w:t>113 499</w:t>
            </w:r>
          </w:p>
        </w:tc>
      </w:tr>
      <w:tr w:rsidR="002B67C2" w:rsidTr="002B67C2">
        <w:tc>
          <w:tcPr>
            <w:tcW w:w="6912" w:type="dxa"/>
          </w:tcPr>
          <w:p w:rsidR="002B67C2" w:rsidRDefault="00FC5990" w:rsidP="00EF0B06">
            <w:pPr>
              <w:pStyle w:val="NoSpacing"/>
              <w:rPr>
                <w:rFonts w:ascii="Arial Black" w:hAnsi="Arial Black"/>
                <w:sz w:val="24"/>
                <w:szCs w:val="24"/>
              </w:rPr>
            </w:pPr>
            <w:r>
              <w:rPr>
                <w:rFonts w:ascii="Arial Black" w:hAnsi="Arial Black"/>
                <w:sz w:val="24"/>
                <w:szCs w:val="24"/>
              </w:rPr>
              <w:t>Construction</w:t>
            </w:r>
          </w:p>
        </w:tc>
        <w:tc>
          <w:tcPr>
            <w:tcW w:w="2330" w:type="dxa"/>
          </w:tcPr>
          <w:p w:rsidR="002B67C2" w:rsidRDefault="0097353E" w:rsidP="00EF0B06">
            <w:pPr>
              <w:pStyle w:val="NoSpacing"/>
              <w:rPr>
                <w:rFonts w:ascii="Arial Black" w:hAnsi="Arial Black"/>
                <w:sz w:val="24"/>
                <w:szCs w:val="24"/>
              </w:rPr>
            </w:pPr>
            <w:r w:rsidRPr="0097353E">
              <w:rPr>
                <w:rFonts w:ascii="Arial Black" w:hAnsi="Arial Black"/>
                <w:sz w:val="24"/>
                <w:szCs w:val="24"/>
              </w:rPr>
              <w:t>96 482</w:t>
            </w:r>
          </w:p>
        </w:tc>
      </w:tr>
      <w:tr w:rsidR="002B67C2" w:rsidTr="002B67C2">
        <w:tc>
          <w:tcPr>
            <w:tcW w:w="6912" w:type="dxa"/>
          </w:tcPr>
          <w:p w:rsidR="002B67C2" w:rsidRDefault="00FC5990" w:rsidP="00EF0B06">
            <w:pPr>
              <w:pStyle w:val="NoSpacing"/>
              <w:rPr>
                <w:rFonts w:ascii="Arial Black" w:hAnsi="Arial Black"/>
                <w:sz w:val="24"/>
                <w:szCs w:val="24"/>
              </w:rPr>
            </w:pPr>
            <w:r>
              <w:rPr>
                <w:rFonts w:ascii="Arial Black" w:hAnsi="Arial Black"/>
                <w:sz w:val="24"/>
                <w:szCs w:val="24"/>
              </w:rPr>
              <w:t>Wholesale &amp; retail trade</w:t>
            </w:r>
          </w:p>
        </w:tc>
        <w:tc>
          <w:tcPr>
            <w:tcW w:w="2330" w:type="dxa"/>
          </w:tcPr>
          <w:p w:rsidR="002B67C2" w:rsidRDefault="0097353E" w:rsidP="00EF0B06">
            <w:pPr>
              <w:pStyle w:val="NoSpacing"/>
              <w:rPr>
                <w:rFonts w:ascii="Arial Black" w:hAnsi="Arial Black"/>
                <w:sz w:val="24"/>
                <w:szCs w:val="24"/>
              </w:rPr>
            </w:pPr>
            <w:r w:rsidRPr="0097353E">
              <w:rPr>
                <w:rFonts w:ascii="Arial Black" w:hAnsi="Arial Black"/>
                <w:sz w:val="24"/>
                <w:szCs w:val="24"/>
              </w:rPr>
              <w:t>2 189 313</w:t>
            </w:r>
          </w:p>
        </w:tc>
      </w:tr>
      <w:tr w:rsidR="002B67C2" w:rsidTr="002B67C2">
        <w:tc>
          <w:tcPr>
            <w:tcW w:w="6912" w:type="dxa"/>
          </w:tcPr>
          <w:p w:rsidR="002B67C2" w:rsidRDefault="00FC5990" w:rsidP="00EF0B06">
            <w:pPr>
              <w:pStyle w:val="NoSpacing"/>
              <w:rPr>
                <w:rFonts w:ascii="Arial Black" w:hAnsi="Arial Black"/>
                <w:sz w:val="24"/>
                <w:szCs w:val="24"/>
              </w:rPr>
            </w:pPr>
            <w:r>
              <w:rPr>
                <w:rFonts w:ascii="Arial Black" w:hAnsi="Arial Black"/>
                <w:sz w:val="24"/>
                <w:szCs w:val="24"/>
              </w:rPr>
              <w:t>Transport</w:t>
            </w:r>
          </w:p>
        </w:tc>
        <w:tc>
          <w:tcPr>
            <w:tcW w:w="2330" w:type="dxa"/>
          </w:tcPr>
          <w:p w:rsidR="002B67C2" w:rsidRDefault="0097353E" w:rsidP="00EF0B06">
            <w:pPr>
              <w:pStyle w:val="NoSpacing"/>
              <w:rPr>
                <w:rFonts w:ascii="Arial Black" w:hAnsi="Arial Black"/>
                <w:sz w:val="24"/>
                <w:szCs w:val="24"/>
              </w:rPr>
            </w:pPr>
            <w:r w:rsidRPr="0097353E">
              <w:rPr>
                <w:rFonts w:ascii="Arial Black" w:hAnsi="Arial Black"/>
                <w:sz w:val="24"/>
                <w:szCs w:val="24"/>
              </w:rPr>
              <w:t>3 309 038</w:t>
            </w:r>
          </w:p>
        </w:tc>
      </w:tr>
      <w:tr w:rsidR="002B67C2" w:rsidTr="002B67C2">
        <w:tc>
          <w:tcPr>
            <w:tcW w:w="6912" w:type="dxa"/>
          </w:tcPr>
          <w:p w:rsidR="002B67C2" w:rsidRDefault="00FC5990" w:rsidP="00EF0B06">
            <w:pPr>
              <w:pStyle w:val="NoSpacing"/>
              <w:rPr>
                <w:rFonts w:ascii="Arial Black" w:hAnsi="Arial Black"/>
                <w:sz w:val="24"/>
                <w:szCs w:val="24"/>
              </w:rPr>
            </w:pPr>
            <w:r>
              <w:rPr>
                <w:rFonts w:ascii="Arial Black" w:hAnsi="Arial Black"/>
                <w:sz w:val="24"/>
                <w:szCs w:val="24"/>
              </w:rPr>
              <w:t>Financial services</w:t>
            </w:r>
          </w:p>
        </w:tc>
        <w:tc>
          <w:tcPr>
            <w:tcW w:w="2330" w:type="dxa"/>
          </w:tcPr>
          <w:p w:rsidR="002B67C2" w:rsidRDefault="00C278D9" w:rsidP="00EF0B06">
            <w:pPr>
              <w:pStyle w:val="NoSpacing"/>
              <w:rPr>
                <w:rFonts w:ascii="Arial Black" w:hAnsi="Arial Black"/>
                <w:sz w:val="24"/>
                <w:szCs w:val="24"/>
              </w:rPr>
            </w:pPr>
            <w:r w:rsidRPr="00C278D9">
              <w:rPr>
                <w:rFonts w:ascii="Arial Black" w:hAnsi="Arial Black"/>
                <w:sz w:val="24"/>
                <w:szCs w:val="24"/>
              </w:rPr>
              <w:t>13 573 279</w:t>
            </w:r>
          </w:p>
        </w:tc>
      </w:tr>
      <w:tr w:rsidR="002B67C2" w:rsidTr="002B67C2">
        <w:tc>
          <w:tcPr>
            <w:tcW w:w="6912" w:type="dxa"/>
          </w:tcPr>
          <w:p w:rsidR="002B67C2" w:rsidRDefault="00FC5990" w:rsidP="00EF0B06">
            <w:pPr>
              <w:pStyle w:val="NoSpacing"/>
              <w:rPr>
                <w:rFonts w:ascii="Arial Black" w:hAnsi="Arial Black"/>
                <w:sz w:val="24"/>
                <w:szCs w:val="24"/>
              </w:rPr>
            </w:pPr>
            <w:r>
              <w:rPr>
                <w:rFonts w:ascii="Arial Black" w:hAnsi="Arial Black"/>
                <w:sz w:val="24"/>
                <w:szCs w:val="24"/>
              </w:rPr>
              <w:t>Real estate</w:t>
            </w:r>
          </w:p>
        </w:tc>
        <w:tc>
          <w:tcPr>
            <w:tcW w:w="2330" w:type="dxa"/>
          </w:tcPr>
          <w:p w:rsidR="002B67C2" w:rsidRDefault="002B67C2" w:rsidP="00EF0B06">
            <w:pPr>
              <w:pStyle w:val="NoSpacing"/>
              <w:rPr>
                <w:rFonts w:ascii="Arial Black" w:hAnsi="Arial Black"/>
                <w:sz w:val="24"/>
                <w:szCs w:val="24"/>
              </w:rPr>
            </w:pPr>
          </w:p>
        </w:tc>
      </w:tr>
      <w:tr w:rsidR="002B67C2" w:rsidTr="002B67C2">
        <w:tc>
          <w:tcPr>
            <w:tcW w:w="6912" w:type="dxa"/>
          </w:tcPr>
          <w:p w:rsidR="002B67C2" w:rsidRDefault="00FC5990" w:rsidP="00EF0B06">
            <w:pPr>
              <w:pStyle w:val="NoSpacing"/>
              <w:rPr>
                <w:rFonts w:ascii="Arial Black" w:hAnsi="Arial Black"/>
                <w:sz w:val="24"/>
                <w:szCs w:val="24"/>
              </w:rPr>
            </w:pPr>
            <w:r>
              <w:rPr>
                <w:rFonts w:ascii="Arial Black" w:hAnsi="Arial Black"/>
                <w:sz w:val="24"/>
                <w:szCs w:val="24"/>
              </w:rPr>
              <w:t>Business services</w:t>
            </w:r>
          </w:p>
        </w:tc>
        <w:tc>
          <w:tcPr>
            <w:tcW w:w="2330" w:type="dxa"/>
          </w:tcPr>
          <w:p w:rsidR="002B67C2" w:rsidRDefault="002B67C2" w:rsidP="00EF0B06">
            <w:pPr>
              <w:pStyle w:val="NoSpacing"/>
              <w:rPr>
                <w:rFonts w:ascii="Arial Black" w:hAnsi="Arial Black"/>
                <w:sz w:val="24"/>
                <w:szCs w:val="24"/>
              </w:rPr>
            </w:pPr>
          </w:p>
        </w:tc>
      </w:tr>
      <w:tr w:rsidR="002B67C2" w:rsidTr="002B67C2">
        <w:tc>
          <w:tcPr>
            <w:tcW w:w="6912" w:type="dxa"/>
          </w:tcPr>
          <w:p w:rsidR="002B67C2" w:rsidRDefault="00FC5990" w:rsidP="00EF0B06">
            <w:pPr>
              <w:pStyle w:val="NoSpacing"/>
              <w:rPr>
                <w:rFonts w:ascii="Arial Black" w:hAnsi="Arial Black"/>
                <w:sz w:val="24"/>
                <w:szCs w:val="24"/>
              </w:rPr>
            </w:pPr>
            <w:r>
              <w:rPr>
                <w:rFonts w:ascii="Arial Black" w:hAnsi="Arial Black"/>
                <w:sz w:val="24"/>
                <w:szCs w:val="24"/>
              </w:rPr>
              <w:t>Community</w:t>
            </w:r>
          </w:p>
        </w:tc>
        <w:tc>
          <w:tcPr>
            <w:tcW w:w="2330" w:type="dxa"/>
          </w:tcPr>
          <w:p w:rsidR="002B67C2" w:rsidRDefault="00C278D9" w:rsidP="00EF0B06">
            <w:pPr>
              <w:pStyle w:val="NoSpacing"/>
              <w:rPr>
                <w:rFonts w:ascii="Arial Black" w:hAnsi="Arial Black"/>
                <w:sz w:val="24"/>
                <w:szCs w:val="24"/>
              </w:rPr>
            </w:pPr>
            <w:r w:rsidRPr="00C278D9">
              <w:rPr>
                <w:rFonts w:ascii="Arial Black" w:hAnsi="Arial Black"/>
                <w:sz w:val="24"/>
                <w:szCs w:val="24"/>
              </w:rPr>
              <w:t>9 441 175</w:t>
            </w:r>
          </w:p>
        </w:tc>
      </w:tr>
      <w:tr w:rsidR="002B67C2" w:rsidTr="002B67C2">
        <w:tc>
          <w:tcPr>
            <w:tcW w:w="6912" w:type="dxa"/>
          </w:tcPr>
          <w:p w:rsidR="002B67C2" w:rsidRDefault="00FC5990" w:rsidP="00EF0B06">
            <w:pPr>
              <w:pStyle w:val="NoSpacing"/>
              <w:rPr>
                <w:rFonts w:ascii="Arial Black" w:hAnsi="Arial Black"/>
                <w:sz w:val="24"/>
                <w:szCs w:val="24"/>
              </w:rPr>
            </w:pPr>
            <w:r>
              <w:rPr>
                <w:rFonts w:ascii="Arial Black" w:hAnsi="Arial Black"/>
                <w:sz w:val="24"/>
                <w:szCs w:val="24"/>
              </w:rPr>
              <w:t>Private households</w:t>
            </w:r>
          </w:p>
        </w:tc>
        <w:tc>
          <w:tcPr>
            <w:tcW w:w="2330" w:type="dxa"/>
          </w:tcPr>
          <w:p w:rsidR="002B67C2" w:rsidRDefault="00C278D9" w:rsidP="00EF0B06">
            <w:pPr>
              <w:pStyle w:val="NoSpacing"/>
              <w:rPr>
                <w:rFonts w:ascii="Arial Black" w:hAnsi="Arial Black"/>
                <w:sz w:val="24"/>
                <w:szCs w:val="24"/>
              </w:rPr>
            </w:pPr>
            <w:r w:rsidRPr="00C278D9">
              <w:rPr>
                <w:rFonts w:ascii="Arial Black" w:hAnsi="Arial Black"/>
                <w:sz w:val="24"/>
                <w:szCs w:val="24"/>
              </w:rPr>
              <w:t>1 107 854</w:t>
            </w:r>
          </w:p>
        </w:tc>
      </w:tr>
      <w:tr w:rsidR="002B67C2" w:rsidTr="002B67C2">
        <w:tc>
          <w:tcPr>
            <w:tcW w:w="6912" w:type="dxa"/>
          </w:tcPr>
          <w:p w:rsidR="002B67C2" w:rsidRDefault="00FC5990" w:rsidP="00EF0B06">
            <w:pPr>
              <w:pStyle w:val="NoSpacing"/>
              <w:rPr>
                <w:rFonts w:ascii="Arial Black" w:hAnsi="Arial Black"/>
                <w:sz w:val="24"/>
                <w:szCs w:val="24"/>
              </w:rPr>
            </w:pPr>
            <w:r>
              <w:rPr>
                <w:rFonts w:ascii="Arial Black" w:hAnsi="Arial Black"/>
                <w:sz w:val="24"/>
                <w:szCs w:val="24"/>
              </w:rPr>
              <w:t>Other</w:t>
            </w:r>
          </w:p>
        </w:tc>
        <w:tc>
          <w:tcPr>
            <w:tcW w:w="2330" w:type="dxa"/>
          </w:tcPr>
          <w:p w:rsidR="002B67C2" w:rsidRDefault="00C278D9" w:rsidP="00EF0B06">
            <w:pPr>
              <w:pStyle w:val="NoSpacing"/>
              <w:rPr>
                <w:rFonts w:ascii="Arial Black" w:hAnsi="Arial Black"/>
                <w:sz w:val="24"/>
                <w:szCs w:val="24"/>
              </w:rPr>
            </w:pPr>
            <w:r w:rsidRPr="00C278D9">
              <w:rPr>
                <w:rFonts w:ascii="Arial Black" w:hAnsi="Arial Black"/>
                <w:sz w:val="24"/>
                <w:szCs w:val="24"/>
              </w:rPr>
              <w:t>35 005 520</w:t>
            </w:r>
          </w:p>
        </w:tc>
      </w:tr>
      <w:tr w:rsidR="002B67C2" w:rsidTr="002B67C2">
        <w:tc>
          <w:tcPr>
            <w:tcW w:w="6912" w:type="dxa"/>
          </w:tcPr>
          <w:p w:rsidR="002B67C2" w:rsidRDefault="00FC5990" w:rsidP="00EF0B06">
            <w:pPr>
              <w:pStyle w:val="NoSpacing"/>
              <w:rPr>
                <w:rFonts w:ascii="Arial Black" w:hAnsi="Arial Black"/>
                <w:sz w:val="24"/>
                <w:szCs w:val="24"/>
              </w:rPr>
            </w:pPr>
            <w:r>
              <w:rPr>
                <w:rFonts w:ascii="Arial Black" w:hAnsi="Arial Black"/>
                <w:sz w:val="24"/>
                <w:szCs w:val="24"/>
              </w:rPr>
              <w:t>Total</w:t>
            </w:r>
          </w:p>
        </w:tc>
        <w:tc>
          <w:tcPr>
            <w:tcW w:w="2330" w:type="dxa"/>
          </w:tcPr>
          <w:p w:rsidR="002B67C2" w:rsidRDefault="00C278D9" w:rsidP="00EF0B06">
            <w:pPr>
              <w:pStyle w:val="NoSpacing"/>
              <w:rPr>
                <w:rFonts w:ascii="Arial Black" w:hAnsi="Arial Black"/>
                <w:sz w:val="24"/>
                <w:szCs w:val="24"/>
              </w:rPr>
            </w:pPr>
            <w:r w:rsidRPr="00C278D9">
              <w:rPr>
                <w:rFonts w:ascii="Arial Black" w:hAnsi="Arial Black"/>
                <w:sz w:val="24"/>
                <w:szCs w:val="24"/>
              </w:rPr>
              <w:t>71 475 073</w:t>
            </w:r>
          </w:p>
        </w:tc>
      </w:tr>
    </w:tbl>
    <w:p w:rsidR="00CA4040" w:rsidRDefault="00CA4040" w:rsidP="00EF0B06">
      <w:pPr>
        <w:pStyle w:val="NoSpacing"/>
        <w:rPr>
          <w:rFonts w:ascii="Arial Black" w:hAnsi="Arial Black"/>
          <w:sz w:val="24"/>
          <w:szCs w:val="24"/>
        </w:rPr>
      </w:pPr>
    </w:p>
    <w:p w:rsidR="00CA4040" w:rsidRDefault="00CA4040" w:rsidP="00CA4040">
      <w:pPr>
        <w:pStyle w:val="NoSpacing"/>
        <w:rPr>
          <w:rFonts w:ascii="Arial Black" w:hAnsi="Arial Black"/>
          <w:sz w:val="24"/>
          <w:szCs w:val="24"/>
        </w:rPr>
      </w:pPr>
      <w:r>
        <w:rPr>
          <w:rFonts w:ascii="Arial Black" w:hAnsi="Arial Black"/>
          <w:sz w:val="24"/>
          <w:szCs w:val="24"/>
        </w:rPr>
        <w:t xml:space="preserve">International credit ratings </w:t>
      </w:r>
    </w:p>
    <w:tbl>
      <w:tblPr>
        <w:tblStyle w:val="TableGrid"/>
        <w:tblW w:w="0" w:type="auto"/>
        <w:tblLook w:val="04A0" w:firstRow="1" w:lastRow="0" w:firstColumn="1" w:lastColumn="0" w:noHBand="0" w:noVBand="1"/>
      </w:tblPr>
      <w:tblGrid>
        <w:gridCol w:w="6912"/>
        <w:gridCol w:w="2330"/>
      </w:tblGrid>
      <w:tr w:rsidR="00CA4040" w:rsidTr="005063DF">
        <w:tc>
          <w:tcPr>
            <w:tcW w:w="6912" w:type="dxa"/>
            <w:shd w:val="clear" w:color="auto" w:fill="C6D9F1" w:themeFill="text2" w:themeFillTint="33"/>
          </w:tcPr>
          <w:p w:rsidR="00CA4040" w:rsidRDefault="00CA4040" w:rsidP="005063DF">
            <w:pPr>
              <w:pStyle w:val="NoSpacing"/>
              <w:rPr>
                <w:rFonts w:ascii="Arial Black" w:hAnsi="Arial Black"/>
                <w:sz w:val="24"/>
                <w:szCs w:val="24"/>
              </w:rPr>
            </w:pPr>
            <w:r w:rsidRPr="00CA4040">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31 Dec 2014  </w:t>
            </w:r>
            <w:r>
              <w:rPr>
                <w:rFonts w:ascii="Arial Black" w:hAnsi="Arial Black"/>
                <w:b/>
                <w:sz w:val="24"/>
                <w:szCs w:val="24"/>
              </w:rPr>
              <w:t>ZAR ‘000</w:t>
            </w:r>
          </w:p>
        </w:tc>
        <w:tc>
          <w:tcPr>
            <w:tcW w:w="2330" w:type="dxa"/>
            <w:shd w:val="clear" w:color="auto" w:fill="C6D9F1" w:themeFill="text2" w:themeFillTint="33"/>
          </w:tcPr>
          <w:p w:rsidR="00CA4040" w:rsidRDefault="00CA4040" w:rsidP="005063DF">
            <w:pPr>
              <w:pStyle w:val="NoSpacing"/>
              <w:rPr>
                <w:rFonts w:ascii="Arial Black" w:hAnsi="Arial Black"/>
                <w:sz w:val="24"/>
                <w:szCs w:val="24"/>
              </w:rPr>
            </w:pPr>
            <w:r>
              <w:rPr>
                <w:rFonts w:ascii="Arial Black" w:hAnsi="Arial Black"/>
                <w:sz w:val="24"/>
                <w:szCs w:val="24"/>
              </w:rPr>
              <w:t>Total</w:t>
            </w:r>
          </w:p>
        </w:tc>
      </w:tr>
      <w:tr w:rsidR="00CA4040" w:rsidTr="005063DF">
        <w:tc>
          <w:tcPr>
            <w:tcW w:w="6912" w:type="dxa"/>
          </w:tcPr>
          <w:p w:rsidR="00CA4040" w:rsidRDefault="00CA4040" w:rsidP="005063DF">
            <w:pPr>
              <w:pStyle w:val="NoSpacing"/>
              <w:rPr>
                <w:rFonts w:ascii="Arial Black" w:hAnsi="Arial Black"/>
                <w:sz w:val="24"/>
                <w:szCs w:val="24"/>
              </w:rPr>
            </w:pPr>
            <w:r>
              <w:rPr>
                <w:rFonts w:ascii="Arial Black" w:hAnsi="Arial Black"/>
                <w:sz w:val="24"/>
                <w:szCs w:val="24"/>
              </w:rPr>
              <w:t>AAA to AA-</w:t>
            </w:r>
          </w:p>
        </w:tc>
        <w:tc>
          <w:tcPr>
            <w:tcW w:w="2330" w:type="dxa"/>
          </w:tcPr>
          <w:p w:rsidR="00CA4040" w:rsidRDefault="003C74BB" w:rsidP="005063DF">
            <w:pPr>
              <w:pStyle w:val="NoSpacing"/>
              <w:rPr>
                <w:rFonts w:ascii="Arial Black" w:hAnsi="Arial Black"/>
                <w:sz w:val="24"/>
                <w:szCs w:val="24"/>
              </w:rPr>
            </w:pPr>
            <w:r w:rsidRPr="003C74BB">
              <w:rPr>
                <w:rFonts w:ascii="Arial Black" w:hAnsi="Arial Black"/>
                <w:sz w:val="24"/>
                <w:szCs w:val="24"/>
              </w:rPr>
              <w:t>6 637 496</w:t>
            </w:r>
          </w:p>
        </w:tc>
      </w:tr>
      <w:tr w:rsidR="00CA4040" w:rsidTr="005063DF">
        <w:tc>
          <w:tcPr>
            <w:tcW w:w="6912" w:type="dxa"/>
          </w:tcPr>
          <w:p w:rsidR="00CA4040" w:rsidRDefault="00CA4040" w:rsidP="005063DF">
            <w:pPr>
              <w:pStyle w:val="NoSpacing"/>
              <w:rPr>
                <w:rFonts w:ascii="Arial Black" w:hAnsi="Arial Black"/>
                <w:sz w:val="24"/>
                <w:szCs w:val="24"/>
              </w:rPr>
            </w:pPr>
            <w:r>
              <w:rPr>
                <w:rFonts w:ascii="Arial Black" w:hAnsi="Arial Black"/>
                <w:sz w:val="24"/>
                <w:szCs w:val="24"/>
              </w:rPr>
              <w:t>A+ to A-</w:t>
            </w:r>
          </w:p>
        </w:tc>
        <w:tc>
          <w:tcPr>
            <w:tcW w:w="2330" w:type="dxa"/>
          </w:tcPr>
          <w:p w:rsidR="00CA4040" w:rsidRDefault="003C74BB" w:rsidP="005063DF">
            <w:pPr>
              <w:pStyle w:val="NoSpacing"/>
              <w:rPr>
                <w:rFonts w:ascii="Arial Black" w:hAnsi="Arial Black"/>
                <w:sz w:val="24"/>
                <w:szCs w:val="24"/>
              </w:rPr>
            </w:pPr>
            <w:r w:rsidRPr="003C74BB">
              <w:rPr>
                <w:rFonts w:ascii="Arial Black" w:hAnsi="Arial Black"/>
                <w:sz w:val="24"/>
                <w:szCs w:val="24"/>
              </w:rPr>
              <w:t>3 042</w:t>
            </w:r>
          </w:p>
        </w:tc>
      </w:tr>
      <w:tr w:rsidR="00CA4040" w:rsidTr="005063DF">
        <w:tc>
          <w:tcPr>
            <w:tcW w:w="6912" w:type="dxa"/>
          </w:tcPr>
          <w:p w:rsidR="00CA4040" w:rsidRDefault="00CA4040" w:rsidP="005063DF">
            <w:pPr>
              <w:pStyle w:val="NoSpacing"/>
              <w:rPr>
                <w:rFonts w:ascii="Arial Black" w:hAnsi="Arial Black"/>
                <w:sz w:val="24"/>
                <w:szCs w:val="24"/>
              </w:rPr>
            </w:pPr>
            <w:r>
              <w:rPr>
                <w:rFonts w:ascii="Arial Black" w:hAnsi="Arial Black"/>
                <w:sz w:val="24"/>
                <w:szCs w:val="24"/>
              </w:rPr>
              <w:t>BBB+ to BBB-</w:t>
            </w:r>
          </w:p>
        </w:tc>
        <w:tc>
          <w:tcPr>
            <w:tcW w:w="2330" w:type="dxa"/>
          </w:tcPr>
          <w:p w:rsidR="00CA4040" w:rsidRDefault="003C74BB" w:rsidP="005063DF">
            <w:pPr>
              <w:pStyle w:val="NoSpacing"/>
              <w:rPr>
                <w:rFonts w:ascii="Arial Black" w:hAnsi="Arial Black"/>
                <w:sz w:val="24"/>
                <w:szCs w:val="24"/>
              </w:rPr>
            </w:pPr>
            <w:r w:rsidRPr="003C74BB">
              <w:rPr>
                <w:rFonts w:ascii="Arial Black" w:hAnsi="Arial Black"/>
                <w:sz w:val="24"/>
                <w:szCs w:val="24"/>
              </w:rPr>
              <w:t>37 114 918</w:t>
            </w:r>
          </w:p>
        </w:tc>
      </w:tr>
      <w:tr w:rsidR="00CA4040" w:rsidTr="005063DF">
        <w:tc>
          <w:tcPr>
            <w:tcW w:w="6912" w:type="dxa"/>
          </w:tcPr>
          <w:p w:rsidR="00CA4040" w:rsidRDefault="00CA4040" w:rsidP="005063DF">
            <w:pPr>
              <w:pStyle w:val="NoSpacing"/>
              <w:rPr>
                <w:rFonts w:ascii="Arial Black" w:hAnsi="Arial Black"/>
                <w:sz w:val="24"/>
                <w:szCs w:val="24"/>
              </w:rPr>
            </w:pPr>
            <w:r>
              <w:rPr>
                <w:rFonts w:ascii="Arial Black" w:hAnsi="Arial Black"/>
                <w:sz w:val="24"/>
                <w:szCs w:val="24"/>
              </w:rPr>
              <w:t>BB+ to B-</w:t>
            </w:r>
          </w:p>
        </w:tc>
        <w:tc>
          <w:tcPr>
            <w:tcW w:w="2330" w:type="dxa"/>
          </w:tcPr>
          <w:p w:rsidR="00CA4040" w:rsidRDefault="003C74BB" w:rsidP="005063DF">
            <w:pPr>
              <w:pStyle w:val="NoSpacing"/>
              <w:rPr>
                <w:rFonts w:ascii="Arial Black" w:hAnsi="Arial Black"/>
                <w:sz w:val="24"/>
                <w:szCs w:val="24"/>
              </w:rPr>
            </w:pPr>
            <w:r w:rsidRPr="003C74BB">
              <w:rPr>
                <w:rFonts w:ascii="Arial Black" w:hAnsi="Arial Black"/>
                <w:sz w:val="24"/>
                <w:szCs w:val="24"/>
              </w:rPr>
              <w:t>870 836</w:t>
            </w:r>
          </w:p>
        </w:tc>
      </w:tr>
      <w:tr w:rsidR="00CA4040" w:rsidTr="005063DF">
        <w:tc>
          <w:tcPr>
            <w:tcW w:w="6912" w:type="dxa"/>
          </w:tcPr>
          <w:p w:rsidR="00CA4040" w:rsidRDefault="00CA4040" w:rsidP="005063DF">
            <w:pPr>
              <w:pStyle w:val="NoSpacing"/>
              <w:rPr>
                <w:rFonts w:ascii="Arial Black" w:hAnsi="Arial Black"/>
                <w:sz w:val="24"/>
                <w:szCs w:val="24"/>
              </w:rPr>
            </w:pPr>
            <w:r>
              <w:rPr>
                <w:rFonts w:ascii="Arial Black" w:hAnsi="Arial Black"/>
                <w:sz w:val="24"/>
                <w:szCs w:val="24"/>
              </w:rPr>
              <w:t>Below B-</w:t>
            </w:r>
          </w:p>
        </w:tc>
        <w:tc>
          <w:tcPr>
            <w:tcW w:w="2330" w:type="dxa"/>
          </w:tcPr>
          <w:p w:rsidR="00CA4040" w:rsidRDefault="003C74BB" w:rsidP="005063DF">
            <w:pPr>
              <w:pStyle w:val="NoSpacing"/>
              <w:rPr>
                <w:rFonts w:ascii="Arial Black" w:hAnsi="Arial Black"/>
                <w:sz w:val="24"/>
                <w:szCs w:val="24"/>
              </w:rPr>
            </w:pPr>
            <w:r w:rsidRPr="003C74BB">
              <w:rPr>
                <w:rFonts w:ascii="Arial Black" w:hAnsi="Arial Black"/>
                <w:sz w:val="24"/>
                <w:szCs w:val="24"/>
              </w:rPr>
              <w:t>17 038</w:t>
            </w:r>
          </w:p>
        </w:tc>
      </w:tr>
      <w:tr w:rsidR="00CA4040" w:rsidTr="005063DF">
        <w:tc>
          <w:tcPr>
            <w:tcW w:w="6912" w:type="dxa"/>
          </w:tcPr>
          <w:p w:rsidR="00CA4040" w:rsidRDefault="00CA4040" w:rsidP="005063DF">
            <w:pPr>
              <w:pStyle w:val="NoSpacing"/>
              <w:rPr>
                <w:rFonts w:ascii="Arial Black" w:hAnsi="Arial Black"/>
                <w:sz w:val="24"/>
                <w:szCs w:val="24"/>
              </w:rPr>
            </w:pPr>
            <w:r>
              <w:rPr>
                <w:rFonts w:ascii="Arial Black" w:hAnsi="Arial Black"/>
                <w:sz w:val="24"/>
                <w:szCs w:val="24"/>
              </w:rPr>
              <w:t>Unrated</w:t>
            </w:r>
          </w:p>
        </w:tc>
        <w:tc>
          <w:tcPr>
            <w:tcW w:w="2330" w:type="dxa"/>
          </w:tcPr>
          <w:p w:rsidR="00CA4040" w:rsidRDefault="003C74BB" w:rsidP="005063DF">
            <w:pPr>
              <w:pStyle w:val="NoSpacing"/>
              <w:rPr>
                <w:rFonts w:ascii="Arial Black" w:hAnsi="Arial Black"/>
                <w:sz w:val="24"/>
                <w:szCs w:val="24"/>
              </w:rPr>
            </w:pPr>
            <w:r w:rsidRPr="003C74BB">
              <w:rPr>
                <w:rFonts w:ascii="Arial Black" w:hAnsi="Arial Black"/>
                <w:sz w:val="24"/>
                <w:szCs w:val="24"/>
              </w:rPr>
              <w:t>26 831 744</w:t>
            </w:r>
          </w:p>
        </w:tc>
      </w:tr>
    </w:tbl>
    <w:p w:rsidR="00BB314E" w:rsidRDefault="00BD038B" w:rsidP="00EF0B06">
      <w:pPr>
        <w:pStyle w:val="NoSpacing"/>
        <w:rPr>
          <w:rFonts w:ascii="Arial Black" w:hAnsi="Arial Black"/>
          <w:b/>
          <w:sz w:val="24"/>
          <w:szCs w:val="24"/>
          <w:u w:val="single"/>
        </w:rPr>
      </w:pPr>
      <w:r>
        <w:rPr>
          <w:rFonts w:ascii="Arial Black" w:hAnsi="Arial Black"/>
          <w:b/>
          <w:sz w:val="24"/>
          <w:szCs w:val="24"/>
          <w:u w:val="single"/>
        </w:rPr>
        <w:lastRenderedPageBreak/>
        <w:t xml:space="preserve">III. </w:t>
      </w:r>
      <w:r w:rsidR="00BB314E">
        <w:rPr>
          <w:rFonts w:ascii="Arial Black" w:hAnsi="Arial Black"/>
          <w:b/>
          <w:sz w:val="24"/>
          <w:szCs w:val="24"/>
          <w:u w:val="single"/>
        </w:rPr>
        <w:t>Market risk</w:t>
      </w:r>
    </w:p>
    <w:p w:rsidR="00BB314E" w:rsidRDefault="00BB314E" w:rsidP="00EF0B06">
      <w:pPr>
        <w:pStyle w:val="NoSpacing"/>
        <w:rPr>
          <w:rFonts w:ascii="Arial Black" w:hAnsi="Arial Black"/>
          <w:b/>
          <w:sz w:val="24"/>
          <w:szCs w:val="24"/>
          <w:u w:val="single"/>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9000"/>
      </w:tblGrid>
      <w:tr w:rsidR="00BB314E" w:rsidRPr="00BB314E" w:rsidTr="00044BB7">
        <w:trPr>
          <w:trHeight w:val="179"/>
        </w:trPr>
        <w:tc>
          <w:tcPr>
            <w:tcW w:w="600" w:type="dxa"/>
            <w:tcBorders>
              <w:top w:val="nil"/>
              <w:left w:val="nil"/>
              <w:bottom w:val="nil"/>
              <w:right w:val="nil"/>
            </w:tcBorders>
          </w:tcPr>
          <w:p w:rsidR="00BB314E" w:rsidRPr="00BB314E" w:rsidRDefault="00BB314E" w:rsidP="002C434F">
            <w:pPr>
              <w:pStyle w:val="NoSpacing"/>
              <w:rPr>
                <w:rFonts w:ascii="Arial Black" w:hAnsi="Arial Black"/>
                <w:b/>
                <w:bCs/>
                <w:sz w:val="24"/>
                <w:szCs w:val="24"/>
              </w:rPr>
            </w:pPr>
          </w:p>
        </w:tc>
        <w:tc>
          <w:tcPr>
            <w:tcW w:w="9000" w:type="dxa"/>
            <w:tcBorders>
              <w:top w:val="nil"/>
              <w:left w:val="nil"/>
              <w:bottom w:val="nil"/>
              <w:right w:val="nil"/>
            </w:tcBorders>
            <w:hideMark/>
          </w:tcPr>
          <w:p w:rsidR="00BB314E" w:rsidRPr="00BB314E" w:rsidRDefault="00BB314E" w:rsidP="002C434F">
            <w:pPr>
              <w:pStyle w:val="NoSpacing"/>
              <w:rPr>
                <w:rFonts w:ascii="Arial Black" w:hAnsi="Arial Black"/>
                <w:b/>
                <w:iCs/>
                <w:sz w:val="24"/>
                <w:szCs w:val="24"/>
              </w:rPr>
            </w:pPr>
            <w:r w:rsidRPr="00BB314E">
              <w:rPr>
                <w:rFonts w:ascii="Arial Black" w:hAnsi="Arial Black"/>
                <w:b/>
                <w:iCs/>
                <w:sz w:val="24"/>
                <w:szCs w:val="24"/>
              </w:rPr>
              <w:t>Market risk arises as a result of interest rate risk, currency risk and trading price risk.</w:t>
            </w:r>
          </w:p>
        </w:tc>
      </w:tr>
      <w:tr w:rsidR="00BB314E" w:rsidRPr="00BB314E" w:rsidTr="00044BB7">
        <w:trPr>
          <w:trHeight w:val="179"/>
        </w:trPr>
        <w:tc>
          <w:tcPr>
            <w:tcW w:w="600" w:type="dxa"/>
            <w:tcBorders>
              <w:top w:val="nil"/>
              <w:left w:val="nil"/>
              <w:bottom w:val="nil"/>
              <w:right w:val="nil"/>
            </w:tcBorders>
          </w:tcPr>
          <w:p w:rsidR="00BB314E" w:rsidRPr="00BB314E" w:rsidRDefault="00BB314E" w:rsidP="00BB314E">
            <w:pPr>
              <w:pStyle w:val="NoSpacing"/>
              <w:rPr>
                <w:rFonts w:ascii="Arial Black" w:hAnsi="Arial Black"/>
                <w:b/>
                <w:bCs/>
                <w:sz w:val="24"/>
                <w:szCs w:val="24"/>
              </w:rPr>
            </w:pPr>
          </w:p>
        </w:tc>
        <w:tc>
          <w:tcPr>
            <w:tcW w:w="9000" w:type="dxa"/>
            <w:tcBorders>
              <w:top w:val="nil"/>
              <w:left w:val="nil"/>
              <w:bottom w:val="nil"/>
              <w:right w:val="nil"/>
            </w:tcBorders>
          </w:tcPr>
          <w:p w:rsidR="00BB314E" w:rsidRDefault="00BB314E" w:rsidP="00BB314E">
            <w:pPr>
              <w:pStyle w:val="NoSpacing"/>
              <w:rPr>
                <w:rFonts w:ascii="Arial Black" w:hAnsi="Arial Black"/>
                <w:b/>
                <w:iCs/>
                <w:sz w:val="24"/>
                <w:szCs w:val="24"/>
              </w:rPr>
            </w:pPr>
          </w:p>
          <w:p w:rsidR="0003505B" w:rsidRDefault="0003505B" w:rsidP="00BB314E">
            <w:pPr>
              <w:pStyle w:val="NoSpacing"/>
              <w:rPr>
                <w:rFonts w:ascii="Arial Black" w:hAnsi="Arial Black"/>
                <w:b/>
                <w:iCs/>
                <w:sz w:val="24"/>
                <w:szCs w:val="24"/>
              </w:rPr>
            </w:pPr>
          </w:p>
          <w:p w:rsidR="0003505B" w:rsidRPr="00BB314E" w:rsidRDefault="0003505B" w:rsidP="00BB314E">
            <w:pPr>
              <w:pStyle w:val="NoSpacing"/>
              <w:rPr>
                <w:rFonts w:ascii="Arial Black" w:hAnsi="Arial Black"/>
                <w:b/>
                <w:iCs/>
                <w:sz w:val="24"/>
                <w:szCs w:val="24"/>
              </w:rPr>
            </w:pPr>
          </w:p>
        </w:tc>
      </w:tr>
      <w:tr w:rsidR="00BB314E" w:rsidRPr="00BB314E" w:rsidTr="00044BB7">
        <w:trPr>
          <w:trHeight w:val="1331"/>
        </w:trPr>
        <w:tc>
          <w:tcPr>
            <w:tcW w:w="600" w:type="dxa"/>
            <w:tcBorders>
              <w:top w:val="nil"/>
              <w:left w:val="nil"/>
              <w:bottom w:val="nil"/>
              <w:right w:val="nil"/>
            </w:tcBorders>
          </w:tcPr>
          <w:p w:rsidR="00BB314E" w:rsidRPr="00BB314E" w:rsidRDefault="00BB314E" w:rsidP="00BB314E">
            <w:pPr>
              <w:pStyle w:val="NoSpacing"/>
              <w:rPr>
                <w:rFonts w:ascii="Arial Black" w:hAnsi="Arial Black"/>
                <w:b/>
                <w:bCs/>
                <w:sz w:val="24"/>
                <w:szCs w:val="24"/>
              </w:rPr>
            </w:pPr>
          </w:p>
        </w:tc>
        <w:tc>
          <w:tcPr>
            <w:tcW w:w="9000" w:type="dxa"/>
            <w:tcBorders>
              <w:top w:val="nil"/>
              <w:left w:val="nil"/>
              <w:bottom w:val="nil"/>
              <w:right w:val="nil"/>
            </w:tcBorders>
            <w:hideMark/>
          </w:tcPr>
          <w:p w:rsidR="00BB314E" w:rsidRPr="00BB314E" w:rsidRDefault="00BB314E" w:rsidP="00BB314E">
            <w:pPr>
              <w:pStyle w:val="NoSpacing"/>
              <w:rPr>
                <w:rFonts w:ascii="Arial Black" w:hAnsi="Arial Black"/>
                <w:b/>
                <w:iCs/>
                <w:sz w:val="24"/>
                <w:szCs w:val="24"/>
              </w:rPr>
            </w:pPr>
            <w:r w:rsidRPr="00BB314E">
              <w:rPr>
                <w:rFonts w:ascii="Arial Black" w:hAnsi="Arial Black"/>
                <w:b/>
                <w:iCs/>
                <w:sz w:val="24"/>
                <w:szCs w:val="24"/>
              </w:rPr>
              <w:t>Interest rate risk</w:t>
            </w:r>
            <w:r w:rsidRPr="00BB314E">
              <w:rPr>
                <w:rFonts w:ascii="Arial Black" w:hAnsi="Arial Black"/>
                <w:b/>
                <w:sz w:val="24"/>
                <w:szCs w:val="24"/>
              </w:rPr>
              <w:t xml:space="preserve"> </w:t>
            </w:r>
          </w:p>
          <w:p w:rsidR="00BB314E" w:rsidRDefault="00BB314E" w:rsidP="00BB314E">
            <w:pPr>
              <w:pStyle w:val="NoSpacing"/>
              <w:rPr>
                <w:rFonts w:ascii="Arial Black" w:hAnsi="Arial Black"/>
                <w:b/>
                <w:sz w:val="24"/>
                <w:szCs w:val="24"/>
              </w:rPr>
            </w:pPr>
            <w:r w:rsidRPr="00BB314E">
              <w:rPr>
                <w:rFonts w:ascii="Arial Black" w:hAnsi="Arial Black"/>
                <w:b/>
                <w:sz w:val="24"/>
                <w:szCs w:val="24"/>
              </w:rPr>
              <w:t xml:space="preserve">The </w:t>
            </w:r>
            <w:r>
              <w:rPr>
                <w:rFonts w:ascii="Arial Black" w:hAnsi="Arial Black"/>
                <w:b/>
                <w:sz w:val="24"/>
                <w:szCs w:val="24"/>
              </w:rPr>
              <w:t>b</w:t>
            </w:r>
            <w:r w:rsidRPr="00BB314E">
              <w:rPr>
                <w:rFonts w:ascii="Arial Black" w:hAnsi="Arial Black"/>
                <w:b/>
                <w:sz w:val="24"/>
                <w:szCs w:val="24"/>
              </w:rPr>
              <w:t>ranch’s operations are subject to the risk of interest rate fluctuations to the extent that interest-earning assets (including investments) and interest-bearing liabilities mature or re</w:t>
            </w:r>
            <w:r>
              <w:rPr>
                <w:rFonts w:ascii="Arial Black" w:hAnsi="Arial Black"/>
                <w:b/>
                <w:sz w:val="24"/>
                <w:szCs w:val="24"/>
              </w:rPr>
              <w:t>-</w:t>
            </w:r>
            <w:r w:rsidRPr="00BB314E">
              <w:rPr>
                <w:rFonts w:ascii="Arial Black" w:hAnsi="Arial Black"/>
                <w:b/>
                <w:sz w:val="24"/>
                <w:szCs w:val="24"/>
              </w:rPr>
              <w:t xml:space="preserve">price at different times or in differing amounts. Risk management activities are aimed at optimising net interest income, maintaining market interest rate levels consistent with the </w:t>
            </w:r>
            <w:r>
              <w:rPr>
                <w:rFonts w:ascii="Arial Black" w:hAnsi="Arial Black"/>
                <w:b/>
                <w:sz w:val="24"/>
                <w:szCs w:val="24"/>
              </w:rPr>
              <w:t>b</w:t>
            </w:r>
            <w:r w:rsidRPr="00BB314E">
              <w:rPr>
                <w:rFonts w:ascii="Arial Black" w:hAnsi="Arial Black"/>
                <w:b/>
                <w:sz w:val="24"/>
                <w:szCs w:val="24"/>
              </w:rPr>
              <w:t>ranch’s business strategies. Interest rate derivatives are primarily used to bridge the mismatch in the re</w:t>
            </w:r>
            <w:r>
              <w:rPr>
                <w:rFonts w:ascii="Arial Black" w:hAnsi="Arial Black"/>
                <w:b/>
                <w:sz w:val="24"/>
                <w:szCs w:val="24"/>
              </w:rPr>
              <w:t>-</w:t>
            </w:r>
            <w:r w:rsidRPr="00BB314E">
              <w:rPr>
                <w:rFonts w:ascii="Arial Black" w:hAnsi="Arial Black"/>
                <w:b/>
                <w:sz w:val="24"/>
                <w:szCs w:val="24"/>
              </w:rPr>
              <w:t xml:space="preserve">pricing of assets and liabilities. This is done in accordance with the guidelines established by the </w:t>
            </w:r>
            <w:r>
              <w:rPr>
                <w:rFonts w:ascii="Arial Black" w:hAnsi="Arial Black"/>
                <w:b/>
                <w:sz w:val="24"/>
                <w:szCs w:val="24"/>
              </w:rPr>
              <w:t>b</w:t>
            </w:r>
            <w:r w:rsidRPr="00BB314E">
              <w:rPr>
                <w:rFonts w:ascii="Arial Black" w:hAnsi="Arial Black"/>
                <w:b/>
                <w:sz w:val="24"/>
                <w:szCs w:val="24"/>
              </w:rPr>
              <w:t xml:space="preserve">ranch’s asset-liability management committee. Part of the </w:t>
            </w:r>
            <w:r>
              <w:rPr>
                <w:rFonts w:ascii="Arial Black" w:hAnsi="Arial Black"/>
                <w:b/>
                <w:sz w:val="24"/>
                <w:szCs w:val="24"/>
              </w:rPr>
              <w:t>b</w:t>
            </w:r>
            <w:r w:rsidRPr="00BB314E">
              <w:rPr>
                <w:rFonts w:ascii="Arial Black" w:hAnsi="Arial Black"/>
                <w:b/>
                <w:sz w:val="24"/>
                <w:szCs w:val="24"/>
              </w:rPr>
              <w:t>ranch’s return on financial instruments is obtained from controlled mismatching of the dates on which interest receivable on assets and interest payable on liabilities are next reset to market rates or, if earlier, the dates on which the instruments mature.</w:t>
            </w:r>
          </w:p>
          <w:p w:rsidR="00BB314E" w:rsidRDefault="00BB314E" w:rsidP="00BB314E">
            <w:pPr>
              <w:pStyle w:val="NoSpacing"/>
              <w:rPr>
                <w:rFonts w:ascii="Arial Black" w:hAnsi="Arial Black"/>
                <w:b/>
                <w:iCs/>
                <w:sz w:val="24"/>
                <w:szCs w:val="24"/>
              </w:rPr>
            </w:pPr>
          </w:p>
          <w:p w:rsidR="00F82AC3" w:rsidRDefault="008A1385" w:rsidP="00BB314E">
            <w:pPr>
              <w:pStyle w:val="NoSpacing"/>
              <w:rPr>
                <w:rFonts w:ascii="Arial Black" w:hAnsi="Arial Black"/>
                <w:b/>
                <w:iCs/>
                <w:sz w:val="24"/>
                <w:szCs w:val="24"/>
              </w:rPr>
            </w:pPr>
            <w:r>
              <w:rPr>
                <w:rFonts w:ascii="Arial Black" w:hAnsi="Arial Black"/>
                <w:b/>
                <w:iCs/>
                <w:sz w:val="24"/>
                <w:szCs w:val="24"/>
              </w:rPr>
              <w:t>The following chart shows the impact on net interest income (NII) of interest rate sensitivities in the banking book</w:t>
            </w:r>
            <w:r w:rsidR="00F82AC3">
              <w:rPr>
                <w:rFonts w:ascii="Arial Black" w:hAnsi="Arial Black"/>
                <w:b/>
                <w:iCs/>
                <w:sz w:val="24"/>
                <w:szCs w:val="24"/>
              </w:rPr>
              <w:t>, by the use of the following measures:</w:t>
            </w:r>
          </w:p>
          <w:p w:rsidR="00F82AC3" w:rsidRDefault="00F82AC3" w:rsidP="00BB314E">
            <w:pPr>
              <w:pStyle w:val="NoSpacing"/>
              <w:rPr>
                <w:rFonts w:ascii="Arial Black" w:hAnsi="Arial Black"/>
                <w:b/>
                <w:iCs/>
                <w:sz w:val="24"/>
                <w:szCs w:val="24"/>
              </w:rPr>
            </w:pPr>
          </w:p>
          <w:p w:rsidR="00F82AC3" w:rsidRDefault="00F82AC3" w:rsidP="00BB314E">
            <w:pPr>
              <w:pStyle w:val="NoSpacing"/>
              <w:rPr>
                <w:rFonts w:ascii="Arial Black" w:hAnsi="Arial Black"/>
                <w:b/>
                <w:iCs/>
                <w:sz w:val="24"/>
                <w:szCs w:val="24"/>
              </w:rPr>
            </w:pPr>
          </w:p>
          <w:tbl>
            <w:tblPr>
              <w:tblStyle w:val="TableGrid"/>
              <w:tblW w:w="0" w:type="auto"/>
              <w:tblLayout w:type="fixed"/>
              <w:tblLook w:val="04A0" w:firstRow="1" w:lastRow="0" w:firstColumn="1" w:lastColumn="0" w:noHBand="0" w:noVBand="1"/>
            </w:tblPr>
            <w:tblGrid>
              <w:gridCol w:w="6341"/>
              <w:gridCol w:w="2428"/>
            </w:tblGrid>
            <w:tr w:rsidR="00F82AC3" w:rsidTr="00F82AC3">
              <w:tc>
                <w:tcPr>
                  <w:tcW w:w="6341" w:type="dxa"/>
                </w:tcPr>
                <w:p w:rsidR="00F82AC3" w:rsidRDefault="00F82AC3" w:rsidP="00BB314E">
                  <w:pPr>
                    <w:pStyle w:val="NoSpacing"/>
                    <w:rPr>
                      <w:rFonts w:ascii="Arial Black" w:hAnsi="Arial Black"/>
                      <w:b/>
                      <w:iCs/>
                      <w:sz w:val="24"/>
                      <w:szCs w:val="24"/>
                    </w:rPr>
                  </w:pPr>
                </w:p>
              </w:tc>
              <w:tc>
                <w:tcPr>
                  <w:tcW w:w="2428" w:type="dxa"/>
                </w:tcPr>
                <w:p w:rsidR="00F82AC3" w:rsidRDefault="00F82AC3" w:rsidP="00BB314E">
                  <w:pPr>
                    <w:pStyle w:val="NoSpacing"/>
                    <w:rPr>
                      <w:rFonts w:ascii="Arial Black" w:hAnsi="Arial Black"/>
                      <w:b/>
                      <w:iCs/>
                      <w:sz w:val="24"/>
                      <w:szCs w:val="24"/>
                    </w:rPr>
                  </w:pPr>
                </w:p>
              </w:tc>
            </w:tr>
            <w:tr w:rsidR="00F82AC3" w:rsidTr="009B7D51">
              <w:tc>
                <w:tcPr>
                  <w:tcW w:w="6341" w:type="dxa"/>
                  <w:shd w:val="clear" w:color="auto" w:fill="C6D9F1" w:themeFill="text2" w:themeFillTint="33"/>
                </w:tcPr>
                <w:p w:rsidR="00F82AC3" w:rsidRDefault="00F82AC3" w:rsidP="009B7D51">
                  <w:pPr>
                    <w:pStyle w:val="NoSpacing"/>
                    <w:rPr>
                      <w:rFonts w:ascii="Arial Black" w:hAnsi="Arial Black"/>
                      <w:b/>
                      <w:sz w:val="24"/>
                      <w:szCs w:val="24"/>
                    </w:rPr>
                  </w:pPr>
                  <w:r w:rsidRPr="00F82AC3">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31 Dec 2014  </w:t>
                  </w:r>
                  <w:r>
                    <w:rPr>
                      <w:rFonts w:ascii="Arial Black" w:hAnsi="Arial Black"/>
                      <w:b/>
                      <w:sz w:val="24"/>
                      <w:szCs w:val="24"/>
                    </w:rPr>
                    <w:t>ZAR ‘000</w:t>
                  </w:r>
                </w:p>
              </w:tc>
              <w:tc>
                <w:tcPr>
                  <w:tcW w:w="2428" w:type="dxa"/>
                  <w:shd w:val="clear" w:color="auto" w:fill="C6D9F1" w:themeFill="text2" w:themeFillTint="33"/>
                </w:tcPr>
                <w:p w:rsidR="00F82AC3" w:rsidRDefault="00F82AC3" w:rsidP="00F82AC3">
                  <w:pPr>
                    <w:pStyle w:val="NoSpacing"/>
                    <w:rPr>
                      <w:rFonts w:ascii="Arial Black" w:hAnsi="Arial Black"/>
                      <w:b/>
                      <w:sz w:val="24"/>
                      <w:szCs w:val="24"/>
                    </w:rPr>
                  </w:pPr>
                  <w:r>
                    <w:rPr>
                      <w:rFonts w:ascii="Arial Black" w:hAnsi="Arial Black"/>
                      <w:b/>
                      <w:sz w:val="24"/>
                      <w:szCs w:val="24"/>
                    </w:rPr>
                    <w:t>Cumulative total for 12 months</w:t>
                  </w:r>
                </w:p>
              </w:tc>
            </w:tr>
            <w:tr w:rsidR="00F82AC3" w:rsidTr="00F82AC3">
              <w:tc>
                <w:tcPr>
                  <w:tcW w:w="6341" w:type="dxa"/>
                </w:tcPr>
                <w:p w:rsidR="00F82AC3" w:rsidRDefault="00F82AC3" w:rsidP="00BB314E">
                  <w:pPr>
                    <w:pStyle w:val="NoSpacing"/>
                    <w:rPr>
                      <w:rFonts w:ascii="Arial Black" w:hAnsi="Arial Black"/>
                      <w:b/>
                      <w:iCs/>
                      <w:sz w:val="24"/>
                      <w:szCs w:val="24"/>
                    </w:rPr>
                  </w:pPr>
                  <w:r>
                    <w:rPr>
                      <w:rFonts w:ascii="Arial Black" w:hAnsi="Arial Black"/>
                      <w:b/>
                      <w:iCs/>
                      <w:sz w:val="24"/>
                      <w:szCs w:val="24"/>
                    </w:rPr>
                    <w:t>NII impact bank specific shock - % of 12 month forecast NII</w:t>
                  </w:r>
                </w:p>
              </w:tc>
              <w:tc>
                <w:tcPr>
                  <w:tcW w:w="2428" w:type="dxa"/>
                </w:tcPr>
                <w:p w:rsidR="00F82AC3" w:rsidRDefault="006800B1" w:rsidP="00BB314E">
                  <w:pPr>
                    <w:pStyle w:val="NoSpacing"/>
                    <w:rPr>
                      <w:rFonts w:ascii="Arial Black" w:hAnsi="Arial Black"/>
                      <w:b/>
                      <w:iCs/>
                      <w:sz w:val="24"/>
                      <w:szCs w:val="24"/>
                    </w:rPr>
                  </w:pPr>
                  <w:r w:rsidRPr="006800B1">
                    <w:rPr>
                      <w:rFonts w:ascii="Arial Black" w:hAnsi="Arial Black"/>
                      <w:b/>
                      <w:iCs/>
                      <w:sz w:val="24"/>
                      <w:szCs w:val="24"/>
                    </w:rPr>
                    <w:t>-7%</w:t>
                  </w:r>
                </w:p>
              </w:tc>
            </w:tr>
            <w:tr w:rsidR="00F82AC3" w:rsidTr="00F82AC3">
              <w:tc>
                <w:tcPr>
                  <w:tcW w:w="6341" w:type="dxa"/>
                </w:tcPr>
                <w:p w:rsidR="00F82AC3" w:rsidRDefault="00F82AC3" w:rsidP="00BB314E">
                  <w:pPr>
                    <w:pStyle w:val="NoSpacing"/>
                    <w:rPr>
                      <w:rFonts w:ascii="Arial Black" w:hAnsi="Arial Black"/>
                      <w:b/>
                      <w:iCs/>
                      <w:sz w:val="24"/>
                      <w:szCs w:val="24"/>
                    </w:rPr>
                  </w:pPr>
                  <w:r>
                    <w:rPr>
                      <w:rFonts w:ascii="Arial Black" w:hAnsi="Arial Black"/>
                      <w:b/>
                      <w:iCs/>
                      <w:sz w:val="24"/>
                      <w:szCs w:val="24"/>
                    </w:rPr>
                    <w:t>Net income impact bank specific shock - % of 12 month forecast net income</w:t>
                  </w:r>
                </w:p>
              </w:tc>
              <w:tc>
                <w:tcPr>
                  <w:tcW w:w="2428" w:type="dxa"/>
                </w:tcPr>
                <w:p w:rsidR="00F82AC3" w:rsidRDefault="006800B1" w:rsidP="00BB314E">
                  <w:pPr>
                    <w:pStyle w:val="NoSpacing"/>
                    <w:rPr>
                      <w:rFonts w:ascii="Arial Black" w:hAnsi="Arial Black"/>
                      <w:b/>
                      <w:iCs/>
                      <w:sz w:val="24"/>
                      <w:szCs w:val="24"/>
                    </w:rPr>
                  </w:pPr>
                  <w:r w:rsidRPr="006800B1">
                    <w:rPr>
                      <w:rFonts w:ascii="Arial Black" w:hAnsi="Arial Black"/>
                      <w:b/>
                      <w:iCs/>
                      <w:sz w:val="24"/>
                      <w:szCs w:val="24"/>
                    </w:rPr>
                    <w:t>-10%</w:t>
                  </w:r>
                </w:p>
              </w:tc>
            </w:tr>
            <w:tr w:rsidR="00F82AC3" w:rsidTr="00F82AC3">
              <w:tc>
                <w:tcPr>
                  <w:tcW w:w="6341" w:type="dxa"/>
                </w:tcPr>
                <w:p w:rsidR="00F82AC3" w:rsidRDefault="00F82AC3" w:rsidP="00BB314E">
                  <w:pPr>
                    <w:pStyle w:val="NoSpacing"/>
                    <w:rPr>
                      <w:rFonts w:ascii="Arial Black" w:hAnsi="Arial Black"/>
                      <w:b/>
                      <w:iCs/>
                      <w:sz w:val="24"/>
                      <w:szCs w:val="24"/>
                    </w:rPr>
                  </w:pPr>
                  <w:r>
                    <w:rPr>
                      <w:rFonts w:ascii="Arial Black" w:hAnsi="Arial Black"/>
                      <w:b/>
                      <w:iCs/>
                      <w:sz w:val="24"/>
                      <w:szCs w:val="24"/>
                    </w:rPr>
                    <w:t>Changes in economic value of equity: interest rate increase</w:t>
                  </w:r>
                </w:p>
              </w:tc>
              <w:tc>
                <w:tcPr>
                  <w:tcW w:w="2428" w:type="dxa"/>
                </w:tcPr>
                <w:p w:rsidR="00F82AC3" w:rsidRDefault="006800B1" w:rsidP="00BB314E">
                  <w:pPr>
                    <w:pStyle w:val="NoSpacing"/>
                    <w:rPr>
                      <w:rFonts w:ascii="Arial Black" w:hAnsi="Arial Black"/>
                      <w:b/>
                      <w:iCs/>
                      <w:sz w:val="24"/>
                      <w:szCs w:val="24"/>
                    </w:rPr>
                  </w:pPr>
                  <w:r w:rsidRPr="006800B1">
                    <w:rPr>
                      <w:rFonts w:ascii="Arial Black" w:hAnsi="Arial Black"/>
                      <w:b/>
                      <w:iCs/>
                      <w:sz w:val="24"/>
                      <w:szCs w:val="24"/>
                    </w:rPr>
                    <w:t>-704 072</w:t>
                  </w:r>
                </w:p>
              </w:tc>
            </w:tr>
            <w:tr w:rsidR="00F82AC3" w:rsidTr="00F82AC3">
              <w:tc>
                <w:tcPr>
                  <w:tcW w:w="6341" w:type="dxa"/>
                </w:tcPr>
                <w:p w:rsidR="00F82AC3" w:rsidRDefault="00F82AC3" w:rsidP="00BB314E">
                  <w:pPr>
                    <w:pStyle w:val="NoSpacing"/>
                    <w:rPr>
                      <w:rFonts w:ascii="Arial Black" w:hAnsi="Arial Black"/>
                      <w:b/>
                      <w:iCs/>
                      <w:sz w:val="24"/>
                      <w:szCs w:val="24"/>
                    </w:rPr>
                  </w:pPr>
                  <w:r>
                    <w:rPr>
                      <w:rFonts w:ascii="Arial Black" w:hAnsi="Arial Black"/>
                      <w:b/>
                      <w:iCs/>
                      <w:sz w:val="24"/>
                      <w:szCs w:val="24"/>
                    </w:rPr>
                    <w:t>Changes in economic value of equity: interest rate decrease</w:t>
                  </w:r>
                </w:p>
              </w:tc>
              <w:tc>
                <w:tcPr>
                  <w:tcW w:w="2428" w:type="dxa"/>
                </w:tcPr>
                <w:p w:rsidR="00F82AC3" w:rsidRDefault="006800B1" w:rsidP="00BB314E">
                  <w:pPr>
                    <w:pStyle w:val="NoSpacing"/>
                    <w:rPr>
                      <w:rFonts w:ascii="Arial Black" w:hAnsi="Arial Black"/>
                      <w:b/>
                      <w:iCs/>
                      <w:sz w:val="24"/>
                      <w:szCs w:val="24"/>
                    </w:rPr>
                  </w:pPr>
                  <w:r w:rsidRPr="006800B1">
                    <w:rPr>
                      <w:rFonts w:ascii="Arial Black" w:hAnsi="Arial Black"/>
                      <w:b/>
                      <w:iCs/>
                      <w:sz w:val="24"/>
                      <w:szCs w:val="24"/>
                    </w:rPr>
                    <w:t>704 072</w:t>
                  </w:r>
                </w:p>
              </w:tc>
            </w:tr>
          </w:tbl>
          <w:p w:rsidR="0003505B" w:rsidRDefault="008A1385" w:rsidP="00BB314E">
            <w:pPr>
              <w:pStyle w:val="NoSpacing"/>
              <w:rPr>
                <w:rFonts w:ascii="Arial Black" w:hAnsi="Arial Black"/>
                <w:b/>
                <w:iCs/>
                <w:sz w:val="24"/>
                <w:szCs w:val="24"/>
              </w:rPr>
            </w:pPr>
            <w:r>
              <w:rPr>
                <w:rFonts w:ascii="Arial Black" w:hAnsi="Arial Black"/>
                <w:b/>
                <w:iCs/>
                <w:sz w:val="24"/>
                <w:szCs w:val="24"/>
              </w:rPr>
              <w:t xml:space="preserve"> </w:t>
            </w:r>
          </w:p>
          <w:p w:rsidR="00DA1B73" w:rsidRPr="00BB314E" w:rsidRDefault="00DA1B73" w:rsidP="00BB314E">
            <w:pPr>
              <w:pStyle w:val="NoSpacing"/>
              <w:rPr>
                <w:rFonts w:ascii="Arial Black" w:hAnsi="Arial Black"/>
                <w:b/>
                <w:iCs/>
                <w:sz w:val="24"/>
                <w:szCs w:val="24"/>
              </w:rPr>
            </w:pPr>
          </w:p>
        </w:tc>
      </w:tr>
      <w:tr w:rsidR="00BB314E" w:rsidRPr="00BB314E" w:rsidTr="00044BB7">
        <w:trPr>
          <w:trHeight w:val="20"/>
        </w:trPr>
        <w:tc>
          <w:tcPr>
            <w:tcW w:w="600" w:type="dxa"/>
            <w:tcBorders>
              <w:top w:val="nil"/>
              <w:left w:val="nil"/>
              <w:bottom w:val="nil"/>
              <w:right w:val="nil"/>
            </w:tcBorders>
          </w:tcPr>
          <w:p w:rsidR="00BB314E" w:rsidRPr="00BB314E" w:rsidRDefault="00BB314E" w:rsidP="00BB314E">
            <w:pPr>
              <w:pStyle w:val="NoSpacing"/>
              <w:rPr>
                <w:rFonts w:ascii="Arial Black" w:hAnsi="Arial Black"/>
                <w:b/>
                <w:bCs/>
                <w:sz w:val="24"/>
                <w:szCs w:val="24"/>
              </w:rPr>
            </w:pPr>
          </w:p>
        </w:tc>
        <w:tc>
          <w:tcPr>
            <w:tcW w:w="9000" w:type="dxa"/>
            <w:tcBorders>
              <w:top w:val="nil"/>
              <w:left w:val="nil"/>
              <w:bottom w:val="nil"/>
              <w:right w:val="nil"/>
            </w:tcBorders>
          </w:tcPr>
          <w:p w:rsidR="00BB314E" w:rsidRPr="00BB314E" w:rsidRDefault="00BB314E" w:rsidP="00BB314E">
            <w:pPr>
              <w:pStyle w:val="NoSpacing"/>
              <w:rPr>
                <w:rFonts w:ascii="Arial Black" w:hAnsi="Arial Black"/>
                <w:b/>
                <w:sz w:val="24"/>
                <w:szCs w:val="24"/>
              </w:rPr>
            </w:pPr>
          </w:p>
        </w:tc>
      </w:tr>
      <w:tr w:rsidR="00BB314E" w:rsidRPr="00BB314E" w:rsidTr="00044BB7">
        <w:trPr>
          <w:trHeight w:val="365"/>
        </w:trPr>
        <w:tc>
          <w:tcPr>
            <w:tcW w:w="600" w:type="dxa"/>
            <w:tcBorders>
              <w:top w:val="nil"/>
              <w:left w:val="nil"/>
              <w:bottom w:val="nil"/>
              <w:right w:val="nil"/>
            </w:tcBorders>
          </w:tcPr>
          <w:p w:rsidR="00BB314E" w:rsidRPr="00BB314E" w:rsidRDefault="00BB314E" w:rsidP="00BB314E">
            <w:pPr>
              <w:pStyle w:val="NoSpacing"/>
              <w:rPr>
                <w:rFonts w:ascii="Arial Black" w:hAnsi="Arial Black"/>
                <w:b/>
                <w:bCs/>
                <w:sz w:val="24"/>
                <w:szCs w:val="24"/>
              </w:rPr>
            </w:pPr>
          </w:p>
        </w:tc>
        <w:tc>
          <w:tcPr>
            <w:tcW w:w="9000" w:type="dxa"/>
            <w:tcBorders>
              <w:top w:val="nil"/>
              <w:left w:val="nil"/>
              <w:bottom w:val="nil"/>
              <w:right w:val="nil"/>
            </w:tcBorders>
            <w:hideMark/>
          </w:tcPr>
          <w:p w:rsidR="00BB314E" w:rsidRPr="00BB314E" w:rsidRDefault="00BB314E" w:rsidP="00BB314E">
            <w:pPr>
              <w:pStyle w:val="NoSpacing"/>
              <w:rPr>
                <w:rFonts w:ascii="Arial Black" w:hAnsi="Arial Black"/>
                <w:b/>
                <w:iCs/>
                <w:sz w:val="24"/>
                <w:szCs w:val="24"/>
              </w:rPr>
            </w:pPr>
            <w:r w:rsidRPr="00BB314E">
              <w:rPr>
                <w:rFonts w:ascii="Arial Black" w:hAnsi="Arial Black"/>
                <w:b/>
                <w:iCs/>
                <w:sz w:val="24"/>
                <w:szCs w:val="24"/>
              </w:rPr>
              <w:t>Currency risk</w:t>
            </w:r>
          </w:p>
          <w:p w:rsidR="00BB314E" w:rsidRPr="00BB314E" w:rsidRDefault="00BB314E" w:rsidP="00BB314E">
            <w:pPr>
              <w:pStyle w:val="NoSpacing"/>
              <w:rPr>
                <w:rFonts w:ascii="Arial Black" w:hAnsi="Arial Black"/>
                <w:b/>
                <w:iCs/>
                <w:sz w:val="24"/>
                <w:szCs w:val="24"/>
              </w:rPr>
            </w:pPr>
            <w:r w:rsidRPr="00BB314E">
              <w:rPr>
                <w:rFonts w:ascii="Arial Black" w:hAnsi="Arial Black"/>
                <w:b/>
                <w:sz w:val="24"/>
                <w:szCs w:val="24"/>
              </w:rPr>
              <w:t xml:space="preserve">The </w:t>
            </w:r>
            <w:r>
              <w:rPr>
                <w:rFonts w:ascii="Arial Black" w:hAnsi="Arial Black"/>
                <w:b/>
                <w:sz w:val="24"/>
                <w:szCs w:val="24"/>
              </w:rPr>
              <w:t>b</w:t>
            </w:r>
            <w:r w:rsidRPr="00BB314E">
              <w:rPr>
                <w:rFonts w:ascii="Arial Black" w:hAnsi="Arial Black"/>
                <w:b/>
                <w:sz w:val="24"/>
                <w:szCs w:val="24"/>
              </w:rPr>
              <w:t xml:space="preserve">ranch is exposed to currency risk through transactions in foreign currencies. The </w:t>
            </w:r>
            <w:r>
              <w:rPr>
                <w:rFonts w:ascii="Arial Black" w:hAnsi="Arial Black"/>
                <w:b/>
                <w:sz w:val="24"/>
                <w:szCs w:val="24"/>
              </w:rPr>
              <w:t>b</w:t>
            </w:r>
            <w:r w:rsidRPr="00BB314E">
              <w:rPr>
                <w:rFonts w:ascii="Arial Black" w:hAnsi="Arial Black"/>
                <w:b/>
                <w:sz w:val="24"/>
                <w:szCs w:val="24"/>
              </w:rPr>
              <w:t xml:space="preserve">ranch’s funding is primarily in US Dollars. As the currency in which the </w:t>
            </w:r>
            <w:r>
              <w:rPr>
                <w:rFonts w:ascii="Arial Black" w:hAnsi="Arial Black"/>
                <w:b/>
                <w:sz w:val="24"/>
                <w:szCs w:val="24"/>
              </w:rPr>
              <w:t>b</w:t>
            </w:r>
            <w:r w:rsidRPr="00BB314E">
              <w:rPr>
                <w:rFonts w:ascii="Arial Black" w:hAnsi="Arial Black"/>
                <w:b/>
                <w:sz w:val="24"/>
                <w:szCs w:val="24"/>
              </w:rPr>
              <w:t xml:space="preserve">ranch presents its annual financial statements is the South African Rand, the </w:t>
            </w:r>
            <w:r>
              <w:rPr>
                <w:rFonts w:ascii="Arial Black" w:hAnsi="Arial Black"/>
                <w:b/>
                <w:sz w:val="24"/>
                <w:szCs w:val="24"/>
              </w:rPr>
              <w:t>b</w:t>
            </w:r>
            <w:r w:rsidRPr="00BB314E">
              <w:rPr>
                <w:rFonts w:ascii="Arial Black" w:hAnsi="Arial Black"/>
                <w:b/>
                <w:sz w:val="24"/>
                <w:szCs w:val="24"/>
              </w:rPr>
              <w:t xml:space="preserve">ranch annual financial statements are affected by movements in the exchange rates between the South African Rand and the US Dollar. The </w:t>
            </w:r>
            <w:r>
              <w:rPr>
                <w:rFonts w:ascii="Arial Black" w:hAnsi="Arial Black"/>
                <w:b/>
                <w:sz w:val="24"/>
                <w:szCs w:val="24"/>
              </w:rPr>
              <w:t>b</w:t>
            </w:r>
            <w:r w:rsidRPr="00BB314E">
              <w:rPr>
                <w:rFonts w:ascii="Arial Black" w:hAnsi="Arial Black"/>
                <w:b/>
                <w:sz w:val="24"/>
                <w:szCs w:val="24"/>
              </w:rPr>
              <w:t xml:space="preserve">ranch’s transactional exposures give rise to foreign currency gains and losses that are recognised in the statement of comprehensive income. The </w:t>
            </w:r>
            <w:r>
              <w:rPr>
                <w:rFonts w:ascii="Arial Black" w:hAnsi="Arial Black"/>
                <w:b/>
                <w:sz w:val="24"/>
                <w:szCs w:val="24"/>
              </w:rPr>
              <w:t>b</w:t>
            </w:r>
            <w:r w:rsidRPr="00BB314E">
              <w:rPr>
                <w:rFonts w:ascii="Arial Black" w:hAnsi="Arial Black"/>
                <w:b/>
                <w:sz w:val="24"/>
                <w:szCs w:val="24"/>
              </w:rPr>
              <w:t>ranch’s foreign exchange position is treated as part of the trading portfolios for risk management purposes.</w:t>
            </w:r>
          </w:p>
        </w:tc>
      </w:tr>
      <w:tr w:rsidR="00BB314E" w:rsidRPr="00BB314E" w:rsidTr="00044BB7">
        <w:tc>
          <w:tcPr>
            <w:tcW w:w="600" w:type="dxa"/>
            <w:tcBorders>
              <w:top w:val="nil"/>
              <w:left w:val="nil"/>
              <w:bottom w:val="nil"/>
              <w:right w:val="nil"/>
            </w:tcBorders>
          </w:tcPr>
          <w:p w:rsidR="00BB314E" w:rsidRPr="00BB314E" w:rsidRDefault="00BB314E" w:rsidP="00BB314E">
            <w:pPr>
              <w:pStyle w:val="NoSpacing"/>
              <w:rPr>
                <w:rFonts w:ascii="Arial Black" w:hAnsi="Arial Black"/>
                <w:b/>
                <w:bCs/>
                <w:sz w:val="24"/>
                <w:szCs w:val="24"/>
              </w:rPr>
            </w:pPr>
          </w:p>
        </w:tc>
        <w:tc>
          <w:tcPr>
            <w:tcW w:w="9000" w:type="dxa"/>
            <w:tcBorders>
              <w:top w:val="nil"/>
              <w:left w:val="nil"/>
              <w:bottom w:val="nil"/>
              <w:right w:val="nil"/>
            </w:tcBorders>
          </w:tcPr>
          <w:p w:rsidR="00BB314E" w:rsidRPr="00BB314E" w:rsidRDefault="00BB314E" w:rsidP="00BB314E">
            <w:pPr>
              <w:pStyle w:val="NoSpacing"/>
              <w:rPr>
                <w:rFonts w:ascii="Arial Black" w:hAnsi="Arial Black"/>
                <w:b/>
                <w:sz w:val="24"/>
                <w:szCs w:val="24"/>
              </w:rPr>
            </w:pPr>
          </w:p>
        </w:tc>
      </w:tr>
      <w:tr w:rsidR="00BB314E" w:rsidRPr="00BB314E" w:rsidTr="00044BB7">
        <w:tc>
          <w:tcPr>
            <w:tcW w:w="600" w:type="dxa"/>
            <w:tcBorders>
              <w:top w:val="nil"/>
              <w:left w:val="nil"/>
              <w:bottom w:val="nil"/>
              <w:right w:val="nil"/>
            </w:tcBorders>
          </w:tcPr>
          <w:p w:rsidR="00BB314E" w:rsidRPr="00BB314E" w:rsidRDefault="00BB314E" w:rsidP="00BB314E">
            <w:pPr>
              <w:pStyle w:val="NoSpacing"/>
              <w:rPr>
                <w:rFonts w:ascii="Arial Black" w:hAnsi="Arial Black"/>
                <w:b/>
                <w:bCs/>
                <w:sz w:val="24"/>
                <w:szCs w:val="24"/>
              </w:rPr>
            </w:pPr>
          </w:p>
        </w:tc>
        <w:tc>
          <w:tcPr>
            <w:tcW w:w="9000" w:type="dxa"/>
            <w:tcBorders>
              <w:top w:val="nil"/>
              <w:left w:val="nil"/>
              <w:bottom w:val="nil"/>
              <w:right w:val="nil"/>
            </w:tcBorders>
            <w:hideMark/>
          </w:tcPr>
          <w:p w:rsidR="00BB314E" w:rsidRPr="00BB314E" w:rsidRDefault="00BB314E" w:rsidP="00BB314E">
            <w:pPr>
              <w:pStyle w:val="NoSpacing"/>
              <w:rPr>
                <w:rFonts w:ascii="Arial Black" w:hAnsi="Arial Black"/>
                <w:b/>
                <w:sz w:val="24"/>
                <w:szCs w:val="24"/>
              </w:rPr>
            </w:pPr>
            <w:r w:rsidRPr="00BB314E">
              <w:rPr>
                <w:rFonts w:ascii="Arial Black" w:hAnsi="Arial Black"/>
                <w:b/>
                <w:sz w:val="24"/>
                <w:szCs w:val="24"/>
              </w:rPr>
              <w:t>Price risk is measured using various tools, including Interest Rate Gap Analysis, Interest Rate Exposure (“IRE”) limits, stress and scenario analysis, which are applied to interest rate risk arising in the non-trading portfolios. Factor sensitivity limits and Value-at Risk (‘</w:t>
            </w:r>
            <w:proofErr w:type="spellStart"/>
            <w:r w:rsidRPr="00BB314E">
              <w:rPr>
                <w:rFonts w:ascii="Arial Black" w:hAnsi="Arial Black"/>
                <w:b/>
                <w:sz w:val="24"/>
                <w:szCs w:val="24"/>
              </w:rPr>
              <w:t>VaR</w:t>
            </w:r>
            <w:proofErr w:type="spellEnd"/>
            <w:r w:rsidRPr="00BB314E">
              <w:rPr>
                <w:rFonts w:ascii="Arial Black" w:hAnsi="Arial Black"/>
                <w:b/>
                <w:sz w:val="24"/>
                <w:szCs w:val="24"/>
              </w:rPr>
              <w:t xml:space="preserve">’), stress and scenario analysis is applied to the trading portfolios. At the discretion of Market Risk Management, </w:t>
            </w:r>
            <w:proofErr w:type="spellStart"/>
            <w:r w:rsidRPr="00BB314E">
              <w:rPr>
                <w:rFonts w:ascii="Arial Black" w:hAnsi="Arial Black"/>
                <w:b/>
                <w:sz w:val="24"/>
                <w:szCs w:val="24"/>
              </w:rPr>
              <w:t>VaR</w:t>
            </w:r>
            <w:proofErr w:type="spellEnd"/>
            <w:r w:rsidRPr="00BB314E">
              <w:rPr>
                <w:rFonts w:ascii="Arial Black" w:hAnsi="Arial Black"/>
                <w:b/>
                <w:sz w:val="24"/>
                <w:szCs w:val="24"/>
              </w:rPr>
              <w:t xml:space="preserve"> can sometimes be applied to the non-trading portfolio as a complementary measure.</w:t>
            </w:r>
          </w:p>
        </w:tc>
      </w:tr>
      <w:tr w:rsidR="00BB314E" w:rsidRPr="00BB314E" w:rsidTr="00044BB7">
        <w:tc>
          <w:tcPr>
            <w:tcW w:w="600" w:type="dxa"/>
            <w:tcBorders>
              <w:top w:val="nil"/>
              <w:left w:val="nil"/>
              <w:bottom w:val="nil"/>
              <w:right w:val="nil"/>
            </w:tcBorders>
          </w:tcPr>
          <w:p w:rsidR="00BB314E" w:rsidRPr="00BB314E" w:rsidRDefault="00BB314E" w:rsidP="00BB314E">
            <w:pPr>
              <w:pStyle w:val="NoSpacing"/>
              <w:rPr>
                <w:rFonts w:ascii="Arial Black" w:hAnsi="Arial Black"/>
                <w:b/>
                <w:bCs/>
                <w:sz w:val="24"/>
                <w:szCs w:val="24"/>
              </w:rPr>
            </w:pPr>
          </w:p>
        </w:tc>
        <w:tc>
          <w:tcPr>
            <w:tcW w:w="9000" w:type="dxa"/>
            <w:tcBorders>
              <w:top w:val="nil"/>
              <w:left w:val="nil"/>
              <w:bottom w:val="nil"/>
              <w:right w:val="nil"/>
            </w:tcBorders>
          </w:tcPr>
          <w:p w:rsidR="00BB314E" w:rsidRDefault="00BB314E" w:rsidP="00BB314E">
            <w:pPr>
              <w:pStyle w:val="NoSpacing"/>
              <w:rPr>
                <w:rFonts w:ascii="Arial Black" w:hAnsi="Arial Black"/>
                <w:b/>
                <w:sz w:val="24"/>
                <w:szCs w:val="24"/>
              </w:rPr>
            </w:pPr>
          </w:p>
          <w:p w:rsidR="00D24B2B" w:rsidRDefault="00D24B2B" w:rsidP="00BB314E">
            <w:pPr>
              <w:pStyle w:val="NoSpacing"/>
              <w:rPr>
                <w:rFonts w:ascii="Arial Black" w:hAnsi="Arial Black"/>
                <w:b/>
                <w:sz w:val="24"/>
                <w:szCs w:val="24"/>
              </w:rPr>
            </w:pPr>
          </w:p>
          <w:p w:rsidR="00D24B2B" w:rsidRPr="00BB314E" w:rsidRDefault="00D24B2B" w:rsidP="00BB314E">
            <w:pPr>
              <w:pStyle w:val="NoSpacing"/>
              <w:rPr>
                <w:rFonts w:ascii="Arial Black" w:hAnsi="Arial Black"/>
                <w:b/>
                <w:sz w:val="24"/>
                <w:szCs w:val="24"/>
              </w:rPr>
            </w:pPr>
          </w:p>
        </w:tc>
      </w:tr>
      <w:tr w:rsidR="00BB314E" w:rsidRPr="00BB314E" w:rsidTr="00044BB7">
        <w:tc>
          <w:tcPr>
            <w:tcW w:w="600" w:type="dxa"/>
            <w:tcBorders>
              <w:top w:val="nil"/>
              <w:left w:val="nil"/>
              <w:bottom w:val="nil"/>
              <w:right w:val="nil"/>
            </w:tcBorders>
          </w:tcPr>
          <w:p w:rsidR="00BB314E" w:rsidRPr="00BB314E" w:rsidRDefault="00BB314E" w:rsidP="00BB314E">
            <w:pPr>
              <w:pStyle w:val="NoSpacing"/>
              <w:rPr>
                <w:rFonts w:ascii="Arial Black" w:hAnsi="Arial Black"/>
                <w:b/>
                <w:bCs/>
                <w:sz w:val="24"/>
                <w:szCs w:val="24"/>
              </w:rPr>
            </w:pPr>
          </w:p>
        </w:tc>
        <w:tc>
          <w:tcPr>
            <w:tcW w:w="9000" w:type="dxa"/>
            <w:tcBorders>
              <w:top w:val="nil"/>
              <w:left w:val="nil"/>
              <w:bottom w:val="nil"/>
              <w:right w:val="nil"/>
            </w:tcBorders>
            <w:hideMark/>
          </w:tcPr>
          <w:p w:rsidR="00BB314E" w:rsidRPr="00BB314E" w:rsidRDefault="00BB314E" w:rsidP="00BB314E">
            <w:pPr>
              <w:pStyle w:val="NoSpacing"/>
              <w:rPr>
                <w:rFonts w:ascii="Arial Black" w:hAnsi="Arial Black"/>
                <w:b/>
                <w:sz w:val="24"/>
                <w:szCs w:val="24"/>
              </w:rPr>
            </w:pPr>
          </w:p>
        </w:tc>
      </w:tr>
      <w:tr w:rsidR="00BB314E" w:rsidRPr="00BB314E" w:rsidTr="00044BB7">
        <w:tc>
          <w:tcPr>
            <w:tcW w:w="600" w:type="dxa"/>
            <w:tcBorders>
              <w:top w:val="nil"/>
              <w:left w:val="nil"/>
              <w:bottom w:val="nil"/>
              <w:right w:val="nil"/>
            </w:tcBorders>
          </w:tcPr>
          <w:p w:rsidR="00BB314E" w:rsidRPr="00BB314E" w:rsidRDefault="00BB314E" w:rsidP="00BB314E">
            <w:pPr>
              <w:pStyle w:val="NoSpacing"/>
              <w:rPr>
                <w:rFonts w:ascii="Arial Black" w:hAnsi="Arial Black"/>
                <w:b/>
                <w:bCs/>
                <w:sz w:val="24"/>
                <w:szCs w:val="24"/>
              </w:rPr>
            </w:pPr>
          </w:p>
        </w:tc>
        <w:tc>
          <w:tcPr>
            <w:tcW w:w="9000" w:type="dxa"/>
            <w:tcBorders>
              <w:top w:val="nil"/>
              <w:left w:val="nil"/>
              <w:bottom w:val="nil"/>
              <w:right w:val="nil"/>
            </w:tcBorders>
          </w:tcPr>
          <w:p w:rsidR="00BB314E" w:rsidRPr="00BB314E" w:rsidRDefault="00BB314E" w:rsidP="00BB314E">
            <w:pPr>
              <w:pStyle w:val="NoSpacing"/>
              <w:rPr>
                <w:rFonts w:ascii="Arial Black" w:hAnsi="Arial Black"/>
                <w:b/>
                <w:sz w:val="24"/>
                <w:szCs w:val="24"/>
              </w:rPr>
            </w:pPr>
            <w:r w:rsidRPr="00BB314E">
              <w:rPr>
                <w:rFonts w:ascii="Arial Black" w:hAnsi="Arial Black"/>
                <w:b/>
                <w:sz w:val="24"/>
                <w:szCs w:val="24"/>
              </w:rPr>
              <w:t>Trading price risk</w:t>
            </w:r>
          </w:p>
        </w:tc>
      </w:tr>
      <w:tr w:rsidR="00BB314E" w:rsidRPr="00BB314E" w:rsidTr="00044BB7">
        <w:tc>
          <w:tcPr>
            <w:tcW w:w="600" w:type="dxa"/>
            <w:tcBorders>
              <w:top w:val="nil"/>
              <w:left w:val="nil"/>
              <w:bottom w:val="nil"/>
              <w:right w:val="nil"/>
            </w:tcBorders>
          </w:tcPr>
          <w:p w:rsidR="00BB314E" w:rsidRPr="00BB314E" w:rsidRDefault="00BB314E" w:rsidP="00BB314E">
            <w:pPr>
              <w:pStyle w:val="NoSpacing"/>
              <w:rPr>
                <w:rFonts w:ascii="Arial Black" w:hAnsi="Arial Black"/>
                <w:b/>
                <w:bCs/>
                <w:sz w:val="24"/>
                <w:szCs w:val="24"/>
              </w:rPr>
            </w:pPr>
          </w:p>
        </w:tc>
        <w:tc>
          <w:tcPr>
            <w:tcW w:w="9000" w:type="dxa"/>
            <w:tcBorders>
              <w:top w:val="nil"/>
              <w:left w:val="nil"/>
              <w:bottom w:val="nil"/>
              <w:right w:val="nil"/>
            </w:tcBorders>
          </w:tcPr>
          <w:p w:rsidR="00BB314E" w:rsidRPr="00BB314E" w:rsidRDefault="00BB314E" w:rsidP="00BB314E">
            <w:pPr>
              <w:pStyle w:val="NoSpacing"/>
              <w:rPr>
                <w:rFonts w:ascii="Arial Black" w:hAnsi="Arial Black"/>
                <w:b/>
                <w:sz w:val="24"/>
                <w:szCs w:val="24"/>
              </w:rPr>
            </w:pPr>
            <w:r w:rsidRPr="00BB314E">
              <w:rPr>
                <w:rFonts w:ascii="Arial Black" w:hAnsi="Arial Black"/>
                <w:b/>
                <w:sz w:val="24"/>
                <w:szCs w:val="24"/>
              </w:rPr>
              <w:t xml:space="preserve">The </w:t>
            </w:r>
            <w:r>
              <w:rPr>
                <w:rFonts w:ascii="Arial Black" w:hAnsi="Arial Black"/>
                <w:b/>
                <w:sz w:val="24"/>
                <w:szCs w:val="24"/>
              </w:rPr>
              <w:t>b</w:t>
            </w:r>
            <w:r w:rsidRPr="00BB314E">
              <w:rPr>
                <w:rFonts w:ascii="Arial Black" w:hAnsi="Arial Black"/>
                <w:b/>
                <w:sz w:val="24"/>
                <w:szCs w:val="24"/>
              </w:rPr>
              <w:t xml:space="preserve">ranch uses a daily </w:t>
            </w:r>
            <w:proofErr w:type="spellStart"/>
            <w:r w:rsidRPr="00BB314E">
              <w:rPr>
                <w:rFonts w:ascii="Arial Black" w:hAnsi="Arial Black"/>
                <w:b/>
                <w:sz w:val="24"/>
                <w:szCs w:val="24"/>
              </w:rPr>
              <w:t>VaR</w:t>
            </w:r>
            <w:proofErr w:type="spellEnd"/>
            <w:r w:rsidRPr="00BB314E">
              <w:rPr>
                <w:rFonts w:ascii="Arial Black" w:hAnsi="Arial Black"/>
                <w:b/>
                <w:sz w:val="24"/>
                <w:szCs w:val="24"/>
              </w:rPr>
              <w:t xml:space="preserve"> measure, in conjunction with factor sensitivity and stress reporting, as a mechanism for monitoring and controlling market risk.  The </w:t>
            </w:r>
            <w:proofErr w:type="spellStart"/>
            <w:r w:rsidRPr="00BB314E">
              <w:rPr>
                <w:rFonts w:ascii="Arial Black" w:hAnsi="Arial Black"/>
                <w:b/>
                <w:sz w:val="24"/>
                <w:szCs w:val="24"/>
              </w:rPr>
              <w:t>VaR</w:t>
            </w:r>
            <w:proofErr w:type="spellEnd"/>
            <w:r w:rsidRPr="00BB314E">
              <w:rPr>
                <w:rFonts w:ascii="Arial Black" w:hAnsi="Arial Black"/>
                <w:b/>
                <w:sz w:val="24"/>
                <w:szCs w:val="24"/>
              </w:rPr>
              <w:t xml:space="preserve"> is calculated at a 99% confidence level assuming a one-day horizon.  Daily losses are expected to exceed the </w:t>
            </w:r>
            <w:proofErr w:type="spellStart"/>
            <w:r w:rsidRPr="00BB314E">
              <w:rPr>
                <w:rFonts w:ascii="Arial Black" w:hAnsi="Arial Black"/>
                <w:b/>
                <w:sz w:val="24"/>
                <w:szCs w:val="24"/>
              </w:rPr>
              <w:t>VaR</w:t>
            </w:r>
            <w:proofErr w:type="spellEnd"/>
            <w:r w:rsidRPr="00BB314E">
              <w:rPr>
                <w:rFonts w:ascii="Arial Black" w:hAnsi="Arial Black"/>
                <w:b/>
                <w:sz w:val="24"/>
                <w:szCs w:val="24"/>
              </w:rPr>
              <w:t>, on average, once every one hundred business days.</w:t>
            </w:r>
          </w:p>
          <w:p w:rsidR="00BB314E" w:rsidRPr="00BB314E" w:rsidRDefault="00BB314E" w:rsidP="00BB314E">
            <w:pPr>
              <w:pStyle w:val="NoSpacing"/>
              <w:rPr>
                <w:rFonts w:ascii="Arial Black" w:hAnsi="Arial Black"/>
                <w:b/>
                <w:sz w:val="24"/>
                <w:szCs w:val="24"/>
              </w:rPr>
            </w:pPr>
          </w:p>
          <w:p w:rsidR="00BB314E" w:rsidRPr="00BB314E" w:rsidRDefault="00BB314E" w:rsidP="00BB314E">
            <w:pPr>
              <w:pStyle w:val="NoSpacing"/>
              <w:rPr>
                <w:rFonts w:ascii="Arial Black" w:hAnsi="Arial Black"/>
                <w:b/>
                <w:sz w:val="24"/>
                <w:szCs w:val="24"/>
              </w:rPr>
            </w:pPr>
            <w:r w:rsidRPr="00BB314E">
              <w:rPr>
                <w:rFonts w:ascii="Arial Black" w:hAnsi="Arial Black"/>
                <w:b/>
                <w:sz w:val="24"/>
                <w:szCs w:val="24"/>
              </w:rPr>
              <w:t xml:space="preserve">The </w:t>
            </w:r>
            <w:proofErr w:type="spellStart"/>
            <w:r w:rsidRPr="00BB314E">
              <w:rPr>
                <w:rFonts w:ascii="Arial Black" w:hAnsi="Arial Black"/>
                <w:b/>
                <w:sz w:val="24"/>
                <w:szCs w:val="24"/>
              </w:rPr>
              <w:t>VaR</w:t>
            </w:r>
            <w:proofErr w:type="spellEnd"/>
            <w:r w:rsidRPr="00BB314E">
              <w:rPr>
                <w:rFonts w:ascii="Arial Black" w:hAnsi="Arial Black"/>
                <w:b/>
                <w:sz w:val="24"/>
                <w:szCs w:val="24"/>
              </w:rPr>
              <w:t xml:space="preserve"> engine is based on the structured Monte-Carlo approach.  The covariance matrix of volatility and correlation is updated at least quarterly, based on three years of market data.</w:t>
            </w:r>
          </w:p>
          <w:p w:rsidR="00BB314E" w:rsidRPr="00BB314E" w:rsidRDefault="00BB314E" w:rsidP="00BB314E">
            <w:pPr>
              <w:pStyle w:val="NoSpacing"/>
              <w:rPr>
                <w:rFonts w:ascii="Arial Black" w:hAnsi="Arial Black"/>
                <w:b/>
                <w:sz w:val="24"/>
                <w:szCs w:val="24"/>
              </w:rPr>
            </w:pPr>
          </w:p>
          <w:p w:rsidR="00BB314E" w:rsidRDefault="00BB314E" w:rsidP="00BB314E">
            <w:pPr>
              <w:pStyle w:val="NoSpacing"/>
              <w:rPr>
                <w:rFonts w:ascii="Arial Black" w:hAnsi="Arial Black"/>
                <w:b/>
                <w:sz w:val="24"/>
                <w:szCs w:val="24"/>
                <w:lang w:val="en-GB"/>
              </w:rPr>
            </w:pPr>
            <w:r w:rsidRPr="00BB314E">
              <w:rPr>
                <w:rFonts w:ascii="Arial Black" w:hAnsi="Arial Black"/>
                <w:b/>
                <w:sz w:val="24"/>
                <w:szCs w:val="24"/>
                <w:lang w:val="en-GB"/>
              </w:rPr>
              <w:lastRenderedPageBreak/>
              <w:t xml:space="preserve">Although extensive back testing of the </w:t>
            </w:r>
            <w:proofErr w:type="spellStart"/>
            <w:r w:rsidRPr="00BB314E">
              <w:rPr>
                <w:rFonts w:ascii="Arial Black" w:hAnsi="Arial Black"/>
                <w:b/>
                <w:sz w:val="24"/>
                <w:szCs w:val="24"/>
                <w:lang w:val="en-GB"/>
              </w:rPr>
              <w:t>VaR</w:t>
            </w:r>
            <w:proofErr w:type="spellEnd"/>
            <w:r w:rsidRPr="00BB314E">
              <w:rPr>
                <w:rFonts w:ascii="Arial Black" w:hAnsi="Arial Black"/>
                <w:b/>
                <w:sz w:val="24"/>
                <w:szCs w:val="24"/>
                <w:lang w:val="en-GB"/>
              </w:rPr>
              <w:t xml:space="preserve"> hypothetical portfolios, with varying concentrations by industry, risk rating etc. are performed, the </w:t>
            </w:r>
            <w:proofErr w:type="spellStart"/>
            <w:r w:rsidRPr="00BB314E">
              <w:rPr>
                <w:rFonts w:ascii="Arial Black" w:hAnsi="Arial Black"/>
                <w:b/>
                <w:sz w:val="24"/>
                <w:szCs w:val="24"/>
                <w:lang w:val="en-GB"/>
              </w:rPr>
              <w:t>VaR</w:t>
            </w:r>
            <w:proofErr w:type="spellEnd"/>
            <w:r w:rsidRPr="00BB314E">
              <w:rPr>
                <w:rFonts w:ascii="Arial Black" w:hAnsi="Arial Black"/>
                <w:b/>
                <w:sz w:val="24"/>
                <w:szCs w:val="24"/>
                <w:lang w:val="en-GB"/>
              </w:rPr>
              <w:t xml:space="preserve"> cannot necessarily provide an indication of the potential size of loss when it occurs.  Hence a comprehensive set of factors, sensitivity limits and stress tests are used, in addition to </w:t>
            </w:r>
            <w:proofErr w:type="spellStart"/>
            <w:r w:rsidRPr="00BB314E">
              <w:rPr>
                <w:rFonts w:ascii="Arial Black" w:hAnsi="Arial Black"/>
                <w:b/>
                <w:sz w:val="24"/>
                <w:szCs w:val="24"/>
                <w:lang w:val="en-GB"/>
              </w:rPr>
              <w:t>VaR</w:t>
            </w:r>
            <w:proofErr w:type="spellEnd"/>
            <w:r w:rsidRPr="00BB314E">
              <w:rPr>
                <w:rFonts w:ascii="Arial Black" w:hAnsi="Arial Black"/>
                <w:b/>
                <w:sz w:val="24"/>
                <w:szCs w:val="24"/>
                <w:lang w:val="en-GB"/>
              </w:rPr>
              <w:t xml:space="preserve"> limits. </w:t>
            </w:r>
          </w:p>
          <w:p w:rsidR="001D38ED" w:rsidRDefault="001D38ED" w:rsidP="00BB314E">
            <w:pPr>
              <w:pStyle w:val="NoSpacing"/>
              <w:rPr>
                <w:rFonts w:ascii="Arial Black" w:hAnsi="Arial Black"/>
                <w:b/>
                <w:sz w:val="24"/>
                <w:szCs w:val="24"/>
                <w:lang w:val="en-GB"/>
              </w:rPr>
            </w:pPr>
          </w:p>
          <w:p w:rsidR="00110C56" w:rsidRPr="00BB314E" w:rsidRDefault="00110C56" w:rsidP="00BB314E">
            <w:pPr>
              <w:pStyle w:val="NoSpacing"/>
              <w:rPr>
                <w:rFonts w:ascii="Arial Black" w:hAnsi="Arial Black"/>
                <w:b/>
                <w:sz w:val="24"/>
                <w:szCs w:val="24"/>
                <w:lang w:val="en-GB"/>
              </w:rPr>
            </w:pPr>
          </w:p>
          <w:p w:rsidR="00BB314E" w:rsidRDefault="00BB314E" w:rsidP="00110C56">
            <w:pPr>
              <w:pStyle w:val="NoSpacing"/>
              <w:rPr>
                <w:rFonts w:ascii="Arial Black" w:hAnsi="Arial Black"/>
                <w:b/>
                <w:sz w:val="24"/>
                <w:szCs w:val="24"/>
                <w:lang w:val="en-GB"/>
              </w:rPr>
            </w:pPr>
            <w:r w:rsidRPr="00BB314E">
              <w:rPr>
                <w:rFonts w:ascii="Arial Black" w:hAnsi="Arial Black"/>
                <w:b/>
                <w:sz w:val="24"/>
                <w:szCs w:val="24"/>
                <w:lang w:val="en-GB"/>
              </w:rPr>
              <w:t xml:space="preserve">As can be deducted from above, the </w:t>
            </w:r>
            <w:r w:rsidR="00110C56">
              <w:rPr>
                <w:rFonts w:ascii="Arial Black" w:hAnsi="Arial Black"/>
                <w:b/>
                <w:sz w:val="24"/>
                <w:szCs w:val="24"/>
                <w:lang w:val="en-GB"/>
              </w:rPr>
              <w:t>b</w:t>
            </w:r>
            <w:r w:rsidRPr="00BB314E">
              <w:rPr>
                <w:rFonts w:ascii="Arial Black" w:hAnsi="Arial Black"/>
                <w:b/>
                <w:sz w:val="24"/>
                <w:szCs w:val="24"/>
                <w:lang w:val="en-GB"/>
              </w:rPr>
              <w:t>ranch</w:t>
            </w:r>
            <w:r w:rsidR="00110C56">
              <w:rPr>
                <w:rFonts w:ascii="Arial Black" w:hAnsi="Arial Black"/>
                <w:b/>
                <w:sz w:val="24"/>
                <w:szCs w:val="24"/>
                <w:lang w:val="en-GB"/>
              </w:rPr>
              <w:t xml:space="preserve"> uses and</w:t>
            </w:r>
            <w:r w:rsidRPr="00BB314E">
              <w:rPr>
                <w:rFonts w:ascii="Arial Black" w:hAnsi="Arial Black"/>
                <w:b/>
                <w:sz w:val="24"/>
                <w:szCs w:val="24"/>
                <w:lang w:val="en-GB"/>
              </w:rPr>
              <w:t xml:space="preserve"> has obtained the approval of the SARB to adopt the Internal Models Approach </w:t>
            </w:r>
            <w:r w:rsidR="002C434F">
              <w:rPr>
                <w:rFonts w:ascii="Arial Black" w:hAnsi="Arial Black"/>
                <w:b/>
                <w:sz w:val="24"/>
                <w:szCs w:val="24"/>
                <w:lang w:val="en-GB"/>
              </w:rPr>
              <w:t xml:space="preserve">(IMA) </w:t>
            </w:r>
            <w:r w:rsidRPr="00BB314E">
              <w:rPr>
                <w:rFonts w:ascii="Arial Black" w:hAnsi="Arial Black"/>
                <w:b/>
                <w:sz w:val="24"/>
                <w:szCs w:val="24"/>
                <w:lang w:val="en-GB"/>
              </w:rPr>
              <w:t>for market risk.</w:t>
            </w:r>
          </w:p>
          <w:p w:rsidR="001D6937" w:rsidRDefault="001D6937" w:rsidP="00110C56">
            <w:pPr>
              <w:pStyle w:val="NoSpacing"/>
              <w:rPr>
                <w:rFonts w:ascii="Arial Black" w:hAnsi="Arial Black"/>
                <w:b/>
                <w:sz w:val="24"/>
                <w:szCs w:val="24"/>
                <w:lang w:val="en-GB"/>
              </w:rPr>
            </w:pPr>
          </w:p>
          <w:p w:rsidR="00971DEF" w:rsidRPr="00BB314E" w:rsidRDefault="00971DEF" w:rsidP="00110C56">
            <w:pPr>
              <w:pStyle w:val="NoSpacing"/>
              <w:rPr>
                <w:rFonts w:ascii="Arial Black" w:hAnsi="Arial Black"/>
                <w:b/>
                <w:sz w:val="24"/>
                <w:szCs w:val="24"/>
              </w:rPr>
            </w:pPr>
          </w:p>
        </w:tc>
      </w:tr>
    </w:tbl>
    <w:p w:rsidR="0003505B" w:rsidRDefault="0003505B" w:rsidP="00BB314E">
      <w:pPr>
        <w:pStyle w:val="NoSpacing"/>
        <w:rPr>
          <w:rFonts w:ascii="Arial Black" w:hAnsi="Arial Black"/>
          <w:b/>
          <w:sz w:val="24"/>
          <w:szCs w:val="24"/>
        </w:rPr>
      </w:pPr>
    </w:p>
    <w:p w:rsidR="00971DEF" w:rsidRDefault="00971DEF" w:rsidP="00971DEF">
      <w:pPr>
        <w:pStyle w:val="NoSpacing"/>
        <w:ind w:left="720"/>
        <w:rPr>
          <w:rFonts w:ascii="Arial Black" w:hAnsi="Arial Black"/>
          <w:b/>
          <w:sz w:val="24"/>
          <w:szCs w:val="24"/>
        </w:rPr>
      </w:pPr>
      <w:r>
        <w:rPr>
          <w:rFonts w:ascii="Arial Black" w:hAnsi="Arial Black"/>
          <w:b/>
          <w:sz w:val="24"/>
          <w:szCs w:val="24"/>
        </w:rPr>
        <w:t>Regulatory and internal</w:t>
      </w:r>
      <w:r w:rsidR="00197EBE">
        <w:rPr>
          <w:rFonts w:ascii="Arial Black" w:hAnsi="Arial Black"/>
          <w:b/>
          <w:sz w:val="24"/>
          <w:szCs w:val="24"/>
        </w:rPr>
        <w:t xml:space="preserve"> </w:t>
      </w:r>
      <w:proofErr w:type="spellStart"/>
      <w:r w:rsidR="00197EBE">
        <w:rPr>
          <w:rFonts w:ascii="Arial Black" w:hAnsi="Arial Black"/>
          <w:b/>
          <w:sz w:val="24"/>
          <w:szCs w:val="24"/>
        </w:rPr>
        <w:t>VaR</w:t>
      </w:r>
      <w:proofErr w:type="spellEnd"/>
      <w:r w:rsidR="00197EBE">
        <w:rPr>
          <w:rFonts w:ascii="Arial Black" w:hAnsi="Arial Black"/>
          <w:b/>
          <w:sz w:val="24"/>
          <w:szCs w:val="24"/>
        </w:rPr>
        <w:t xml:space="preserve"> amounts</w:t>
      </w:r>
      <w:r w:rsidR="00F8102A">
        <w:rPr>
          <w:rFonts w:ascii="Arial Black" w:hAnsi="Arial Black"/>
          <w:b/>
          <w:sz w:val="24"/>
          <w:szCs w:val="24"/>
        </w:rPr>
        <w:t xml:space="preserve">  </w:t>
      </w:r>
      <w:r w:rsidR="0003505B">
        <w:rPr>
          <w:rFonts w:ascii="Arial Black" w:hAnsi="Arial Black"/>
          <w:b/>
          <w:sz w:val="24"/>
          <w:szCs w:val="24"/>
        </w:rPr>
        <w:t xml:space="preserve"> ZAR ‘000   </w:t>
      </w:r>
      <w:r w:rsidR="00197EBE">
        <w:rPr>
          <w:rFonts w:ascii="Arial Black" w:hAnsi="Arial Black"/>
          <w:b/>
          <w:sz w:val="24"/>
          <w:szCs w:val="24"/>
        </w:rPr>
        <w:t xml:space="preserve"> </w:t>
      </w:r>
    </w:p>
    <w:tbl>
      <w:tblPr>
        <w:tblStyle w:val="TableGrid"/>
        <w:tblW w:w="8886" w:type="dxa"/>
        <w:tblInd w:w="720" w:type="dxa"/>
        <w:tblLayout w:type="fixed"/>
        <w:tblLook w:val="04A0" w:firstRow="1" w:lastRow="0" w:firstColumn="1" w:lastColumn="0" w:noHBand="0" w:noVBand="1"/>
      </w:tblPr>
      <w:tblGrid>
        <w:gridCol w:w="1699"/>
        <w:gridCol w:w="1233"/>
        <w:gridCol w:w="1276"/>
        <w:gridCol w:w="1134"/>
        <w:gridCol w:w="1134"/>
        <w:gridCol w:w="1134"/>
        <w:gridCol w:w="1276"/>
      </w:tblGrid>
      <w:tr w:rsidR="00F8102A" w:rsidTr="00801D73">
        <w:tc>
          <w:tcPr>
            <w:tcW w:w="6476" w:type="dxa"/>
            <w:gridSpan w:val="5"/>
            <w:shd w:val="clear" w:color="auto" w:fill="C6D9F1" w:themeFill="text2" w:themeFillTint="33"/>
          </w:tcPr>
          <w:p w:rsidR="00F8102A" w:rsidRDefault="00F8102A" w:rsidP="00F8102A">
            <w:pPr>
              <w:pStyle w:val="NoSpacing"/>
              <w:rPr>
                <w:rFonts w:ascii="Arial Black" w:hAnsi="Arial Black"/>
                <w:b/>
                <w:sz w:val="24"/>
                <w:szCs w:val="24"/>
              </w:rPr>
            </w:pPr>
            <w:r>
              <w:rPr>
                <w:rFonts w:ascii="Arial Black" w:hAnsi="Arial Black"/>
                <w:b/>
                <w:sz w:val="24"/>
                <w:szCs w:val="24"/>
              </w:rPr>
              <w:t xml:space="preserve">                     Regulatory    </w:t>
            </w:r>
            <w:proofErr w:type="spellStart"/>
            <w:r>
              <w:rPr>
                <w:rFonts w:ascii="Arial Black" w:hAnsi="Arial Black"/>
                <w:b/>
                <w:sz w:val="24"/>
                <w:szCs w:val="24"/>
              </w:rPr>
              <w:t>VaR</w:t>
            </w:r>
            <w:proofErr w:type="spellEnd"/>
            <w:r>
              <w:rPr>
                <w:rFonts w:ascii="Arial Black" w:hAnsi="Arial Black"/>
                <w:b/>
                <w:sz w:val="24"/>
                <w:szCs w:val="24"/>
              </w:rPr>
              <w:t xml:space="preserve">    amounts</w:t>
            </w:r>
          </w:p>
        </w:tc>
        <w:tc>
          <w:tcPr>
            <w:tcW w:w="2410" w:type="dxa"/>
            <w:gridSpan w:val="2"/>
            <w:tcBorders>
              <w:bottom w:val="single" w:sz="4" w:space="0" w:color="auto"/>
            </w:tcBorders>
            <w:shd w:val="clear" w:color="auto" w:fill="C6D9F1" w:themeFill="text2" w:themeFillTint="33"/>
          </w:tcPr>
          <w:p w:rsidR="00F8102A" w:rsidRDefault="00F8102A" w:rsidP="00971DEF">
            <w:pPr>
              <w:pStyle w:val="NoSpacing"/>
              <w:rPr>
                <w:rFonts w:ascii="Arial Black" w:hAnsi="Arial Black"/>
                <w:b/>
                <w:sz w:val="24"/>
                <w:szCs w:val="24"/>
              </w:rPr>
            </w:pPr>
            <w:r>
              <w:rPr>
                <w:rFonts w:ascii="Arial Black" w:hAnsi="Arial Black"/>
                <w:b/>
                <w:sz w:val="24"/>
                <w:szCs w:val="24"/>
              </w:rPr>
              <w:t xml:space="preserve">Internal  </w:t>
            </w:r>
            <w:proofErr w:type="spellStart"/>
            <w:r>
              <w:rPr>
                <w:rFonts w:ascii="Arial Black" w:hAnsi="Arial Black"/>
                <w:b/>
                <w:sz w:val="24"/>
                <w:szCs w:val="24"/>
              </w:rPr>
              <w:t>VaR</w:t>
            </w:r>
            <w:proofErr w:type="spellEnd"/>
          </w:p>
        </w:tc>
      </w:tr>
      <w:tr w:rsidR="0003505B" w:rsidTr="00801D73">
        <w:tc>
          <w:tcPr>
            <w:tcW w:w="1699" w:type="dxa"/>
          </w:tcPr>
          <w:p w:rsidR="00197EBE" w:rsidRDefault="00F8102A" w:rsidP="00971DEF">
            <w:pPr>
              <w:pStyle w:val="NoSpacing"/>
              <w:rPr>
                <w:rFonts w:ascii="Arial Black" w:hAnsi="Arial Black"/>
                <w:b/>
                <w:sz w:val="24"/>
                <w:szCs w:val="24"/>
              </w:rPr>
            </w:pPr>
            <w:r w:rsidRPr="00F8102A">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31 Dec 2014</w:t>
            </w:r>
          </w:p>
        </w:tc>
        <w:tc>
          <w:tcPr>
            <w:tcW w:w="1233" w:type="dxa"/>
            <w:shd w:val="clear" w:color="auto" w:fill="C6D9F1" w:themeFill="text2" w:themeFillTint="33"/>
          </w:tcPr>
          <w:p w:rsidR="00197EBE" w:rsidRDefault="00197EBE" w:rsidP="0003505B">
            <w:pPr>
              <w:pStyle w:val="NoSpacing"/>
              <w:rPr>
                <w:rFonts w:ascii="Arial Black" w:hAnsi="Arial Black"/>
                <w:b/>
                <w:sz w:val="24"/>
                <w:szCs w:val="24"/>
              </w:rPr>
            </w:pPr>
            <w:r>
              <w:rPr>
                <w:rFonts w:ascii="Arial Black" w:hAnsi="Arial Black"/>
                <w:b/>
                <w:sz w:val="24"/>
                <w:szCs w:val="24"/>
              </w:rPr>
              <w:t xml:space="preserve">Min </w:t>
            </w:r>
            <w:proofErr w:type="spellStart"/>
            <w:r>
              <w:rPr>
                <w:rFonts w:ascii="Arial Black" w:hAnsi="Arial Black"/>
                <w:b/>
                <w:sz w:val="24"/>
                <w:szCs w:val="24"/>
              </w:rPr>
              <w:t>Va</w:t>
            </w:r>
            <w:r w:rsidR="0003505B">
              <w:rPr>
                <w:rFonts w:ascii="Arial Black" w:hAnsi="Arial Black"/>
                <w:b/>
                <w:sz w:val="24"/>
                <w:szCs w:val="24"/>
              </w:rPr>
              <w:t>R</w:t>
            </w:r>
            <w:proofErr w:type="spellEnd"/>
          </w:p>
        </w:tc>
        <w:tc>
          <w:tcPr>
            <w:tcW w:w="1276" w:type="dxa"/>
            <w:shd w:val="clear" w:color="auto" w:fill="C6D9F1" w:themeFill="text2" w:themeFillTint="33"/>
          </w:tcPr>
          <w:p w:rsidR="00197EBE" w:rsidRDefault="00197EBE" w:rsidP="00971DEF">
            <w:pPr>
              <w:pStyle w:val="NoSpacing"/>
              <w:rPr>
                <w:rFonts w:ascii="Arial Black" w:hAnsi="Arial Black"/>
                <w:b/>
                <w:sz w:val="24"/>
                <w:szCs w:val="24"/>
              </w:rPr>
            </w:pPr>
            <w:r>
              <w:rPr>
                <w:rFonts w:ascii="Arial Black" w:hAnsi="Arial Black"/>
                <w:b/>
                <w:sz w:val="24"/>
                <w:szCs w:val="24"/>
              </w:rPr>
              <w:t xml:space="preserve">Ave </w:t>
            </w:r>
            <w:proofErr w:type="spellStart"/>
            <w:r>
              <w:rPr>
                <w:rFonts w:ascii="Arial Black" w:hAnsi="Arial Black"/>
                <w:b/>
                <w:sz w:val="24"/>
                <w:szCs w:val="24"/>
              </w:rPr>
              <w:t>VaR</w:t>
            </w:r>
            <w:proofErr w:type="spellEnd"/>
          </w:p>
        </w:tc>
        <w:tc>
          <w:tcPr>
            <w:tcW w:w="1134" w:type="dxa"/>
            <w:shd w:val="clear" w:color="auto" w:fill="C6D9F1" w:themeFill="text2" w:themeFillTint="33"/>
          </w:tcPr>
          <w:p w:rsidR="00197EBE" w:rsidRDefault="00197EBE" w:rsidP="0003505B">
            <w:pPr>
              <w:pStyle w:val="NoSpacing"/>
              <w:rPr>
                <w:rFonts w:ascii="Arial Black" w:hAnsi="Arial Black"/>
                <w:b/>
                <w:sz w:val="24"/>
                <w:szCs w:val="24"/>
              </w:rPr>
            </w:pPr>
            <w:r>
              <w:rPr>
                <w:rFonts w:ascii="Arial Black" w:hAnsi="Arial Black"/>
                <w:b/>
                <w:sz w:val="24"/>
                <w:szCs w:val="24"/>
              </w:rPr>
              <w:t xml:space="preserve">Max </w:t>
            </w:r>
            <w:proofErr w:type="spellStart"/>
            <w:r>
              <w:rPr>
                <w:rFonts w:ascii="Arial Black" w:hAnsi="Arial Black"/>
                <w:b/>
                <w:sz w:val="24"/>
                <w:szCs w:val="24"/>
              </w:rPr>
              <w:t>Va</w:t>
            </w:r>
            <w:r w:rsidR="0003505B">
              <w:rPr>
                <w:rFonts w:ascii="Arial Black" w:hAnsi="Arial Black"/>
                <w:b/>
                <w:sz w:val="24"/>
                <w:szCs w:val="24"/>
              </w:rPr>
              <w:t>R</w:t>
            </w:r>
            <w:proofErr w:type="spellEnd"/>
          </w:p>
        </w:tc>
        <w:tc>
          <w:tcPr>
            <w:tcW w:w="1134" w:type="dxa"/>
            <w:shd w:val="clear" w:color="auto" w:fill="C6D9F1" w:themeFill="text2" w:themeFillTint="33"/>
          </w:tcPr>
          <w:p w:rsidR="00197EBE" w:rsidRDefault="00197EBE" w:rsidP="00971DEF">
            <w:pPr>
              <w:pStyle w:val="NoSpacing"/>
              <w:rPr>
                <w:rFonts w:ascii="Arial Black" w:hAnsi="Arial Black"/>
                <w:b/>
                <w:sz w:val="24"/>
                <w:szCs w:val="24"/>
              </w:rPr>
            </w:pPr>
            <w:proofErr w:type="spellStart"/>
            <w:r>
              <w:rPr>
                <w:rFonts w:ascii="Arial Black" w:hAnsi="Arial Black"/>
                <w:b/>
                <w:sz w:val="24"/>
                <w:szCs w:val="24"/>
              </w:rPr>
              <w:t>sVaR</w:t>
            </w:r>
            <w:proofErr w:type="spellEnd"/>
          </w:p>
        </w:tc>
        <w:tc>
          <w:tcPr>
            <w:tcW w:w="1134" w:type="dxa"/>
            <w:shd w:val="clear" w:color="auto" w:fill="C6D9F1" w:themeFill="text2" w:themeFillTint="33"/>
          </w:tcPr>
          <w:p w:rsidR="00197EBE" w:rsidRDefault="0003505B" w:rsidP="0003505B">
            <w:pPr>
              <w:pStyle w:val="NoSpacing"/>
              <w:rPr>
                <w:rFonts w:ascii="Arial Black" w:hAnsi="Arial Black"/>
                <w:b/>
                <w:sz w:val="24"/>
                <w:szCs w:val="24"/>
              </w:rPr>
            </w:pPr>
            <w:r>
              <w:rPr>
                <w:rFonts w:ascii="Arial Black" w:hAnsi="Arial Black"/>
                <w:b/>
                <w:sz w:val="24"/>
                <w:szCs w:val="24"/>
              </w:rPr>
              <w:t xml:space="preserve">Max </w:t>
            </w:r>
            <w:proofErr w:type="spellStart"/>
            <w:r>
              <w:rPr>
                <w:rFonts w:ascii="Arial Black" w:hAnsi="Arial Black"/>
                <w:b/>
                <w:sz w:val="24"/>
                <w:szCs w:val="24"/>
              </w:rPr>
              <w:t>VaR</w:t>
            </w:r>
            <w:proofErr w:type="spellEnd"/>
          </w:p>
        </w:tc>
        <w:tc>
          <w:tcPr>
            <w:tcW w:w="1276" w:type="dxa"/>
            <w:shd w:val="clear" w:color="auto" w:fill="C6D9F1" w:themeFill="text2" w:themeFillTint="33"/>
          </w:tcPr>
          <w:p w:rsidR="00197EBE" w:rsidRDefault="0003505B" w:rsidP="0003505B">
            <w:pPr>
              <w:pStyle w:val="NoSpacing"/>
              <w:rPr>
                <w:rFonts w:ascii="Arial Black" w:hAnsi="Arial Black"/>
                <w:b/>
                <w:sz w:val="24"/>
                <w:szCs w:val="24"/>
              </w:rPr>
            </w:pPr>
            <w:proofErr w:type="spellStart"/>
            <w:r>
              <w:rPr>
                <w:rFonts w:ascii="Arial Black" w:hAnsi="Arial Black"/>
                <w:b/>
                <w:sz w:val="24"/>
                <w:szCs w:val="24"/>
              </w:rPr>
              <w:t>VaR</w:t>
            </w:r>
            <w:proofErr w:type="spellEnd"/>
            <w:r>
              <w:rPr>
                <w:rFonts w:ascii="Arial Black" w:hAnsi="Arial Black"/>
                <w:b/>
                <w:sz w:val="24"/>
                <w:szCs w:val="24"/>
              </w:rPr>
              <w:t xml:space="preserve"> limit</w:t>
            </w:r>
          </w:p>
        </w:tc>
      </w:tr>
      <w:tr w:rsidR="0003505B" w:rsidTr="00801D73">
        <w:tc>
          <w:tcPr>
            <w:tcW w:w="1699" w:type="dxa"/>
          </w:tcPr>
          <w:p w:rsidR="00197EBE" w:rsidRDefault="0003505B" w:rsidP="00971DEF">
            <w:pPr>
              <w:pStyle w:val="NoSpacing"/>
              <w:rPr>
                <w:rFonts w:ascii="Arial Black" w:hAnsi="Arial Black"/>
                <w:b/>
                <w:sz w:val="24"/>
                <w:szCs w:val="24"/>
              </w:rPr>
            </w:pPr>
            <w:r>
              <w:rPr>
                <w:rFonts w:ascii="Arial Black" w:hAnsi="Arial Black"/>
                <w:b/>
                <w:sz w:val="24"/>
                <w:szCs w:val="24"/>
              </w:rPr>
              <w:t>Position risk</w:t>
            </w:r>
          </w:p>
        </w:tc>
        <w:tc>
          <w:tcPr>
            <w:tcW w:w="1233" w:type="dxa"/>
          </w:tcPr>
          <w:p w:rsidR="00197EBE" w:rsidRDefault="00801D73" w:rsidP="00971DEF">
            <w:pPr>
              <w:pStyle w:val="NoSpacing"/>
              <w:rPr>
                <w:rFonts w:ascii="Arial Black" w:hAnsi="Arial Black"/>
                <w:b/>
                <w:sz w:val="24"/>
                <w:szCs w:val="24"/>
              </w:rPr>
            </w:pPr>
            <w:r w:rsidRPr="00801D73">
              <w:rPr>
                <w:rFonts w:ascii="Arial Black" w:hAnsi="Arial Black"/>
                <w:b/>
                <w:sz w:val="24"/>
                <w:szCs w:val="24"/>
              </w:rPr>
              <w:t>61 038</w:t>
            </w:r>
          </w:p>
        </w:tc>
        <w:tc>
          <w:tcPr>
            <w:tcW w:w="1276" w:type="dxa"/>
          </w:tcPr>
          <w:p w:rsidR="00197EBE" w:rsidRDefault="00801D73" w:rsidP="00971DEF">
            <w:pPr>
              <w:pStyle w:val="NoSpacing"/>
              <w:rPr>
                <w:rFonts w:ascii="Arial Black" w:hAnsi="Arial Black"/>
                <w:b/>
                <w:sz w:val="24"/>
                <w:szCs w:val="24"/>
              </w:rPr>
            </w:pPr>
            <w:r w:rsidRPr="00801D73">
              <w:rPr>
                <w:rFonts w:ascii="Arial Black" w:hAnsi="Arial Black"/>
                <w:b/>
                <w:sz w:val="24"/>
                <w:szCs w:val="24"/>
              </w:rPr>
              <w:t>80 870</w:t>
            </w:r>
          </w:p>
        </w:tc>
        <w:tc>
          <w:tcPr>
            <w:tcW w:w="1134" w:type="dxa"/>
          </w:tcPr>
          <w:p w:rsidR="00197EBE" w:rsidRDefault="00801D73" w:rsidP="00971DEF">
            <w:pPr>
              <w:pStyle w:val="NoSpacing"/>
              <w:rPr>
                <w:rFonts w:ascii="Arial Black" w:hAnsi="Arial Black"/>
                <w:b/>
                <w:sz w:val="24"/>
                <w:szCs w:val="24"/>
              </w:rPr>
            </w:pPr>
            <w:r w:rsidRPr="00801D73">
              <w:rPr>
                <w:rFonts w:ascii="Arial Black" w:hAnsi="Arial Black"/>
                <w:b/>
                <w:sz w:val="24"/>
                <w:szCs w:val="24"/>
              </w:rPr>
              <w:t>97 028</w:t>
            </w:r>
          </w:p>
        </w:tc>
        <w:tc>
          <w:tcPr>
            <w:tcW w:w="1134" w:type="dxa"/>
          </w:tcPr>
          <w:p w:rsidR="00197EBE" w:rsidRDefault="00801D73" w:rsidP="00971DEF">
            <w:pPr>
              <w:pStyle w:val="NoSpacing"/>
              <w:rPr>
                <w:rFonts w:ascii="Arial Black" w:hAnsi="Arial Black"/>
                <w:b/>
                <w:sz w:val="24"/>
                <w:szCs w:val="24"/>
              </w:rPr>
            </w:pPr>
            <w:r w:rsidRPr="00801D73">
              <w:rPr>
                <w:rFonts w:ascii="Arial Black" w:hAnsi="Arial Black"/>
                <w:b/>
                <w:sz w:val="24"/>
                <w:szCs w:val="24"/>
              </w:rPr>
              <w:t>90 679</w:t>
            </w:r>
          </w:p>
        </w:tc>
        <w:tc>
          <w:tcPr>
            <w:tcW w:w="1134" w:type="dxa"/>
          </w:tcPr>
          <w:p w:rsidR="00197EBE" w:rsidRDefault="00801D73" w:rsidP="00971DEF">
            <w:pPr>
              <w:pStyle w:val="NoSpacing"/>
              <w:rPr>
                <w:rFonts w:ascii="Arial Black" w:hAnsi="Arial Black"/>
                <w:b/>
                <w:sz w:val="24"/>
                <w:szCs w:val="24"/>
              </w:rPr>
            </w:pPr>
            <w:r w:rsidRPr="00801D73">
              <w:rPr>
                <w:rFonts w:ascii="Arial Black" w:hAnsi="Arial Black"/>
                <w:b/>
                <w:sz w:val="24"/>
                <w:szCs w:val="24"/>
              </w:rPr>
              <w:t>30 683</w:t>
            </w:r>
          </w:p>
        </w:tc>
        <w:tc>
          <w:tcPr>
            <w:tcW w:w="1276" w:type="dxa"/>
          </w:tcPr>
          <w:p w:rsidR="00197EBE" w:rsidRDefault="00801D73" w:rsidP="00971DEF">
            <w:pPr>
              <w:pStyle w:val="NoSpacing"/>
              <w:rPr>
                <w:rFonts w:ascii="Arial Black" w:hAnsi="Arial Black"/>
                <w:b/>
                <w:sz w:val="24"/>
                <w:szCs w:val="24"/>
              </w:rPr>
            </w:pPr>
            <w:r w:rsidRPr="00801D73">
              <w:rPr>
                <w:rFonts w:ascii="Arial Black" w:hAnsi="Arial Black"/>
                <w:b/>
                <w:sz w:val="24"/>
                <w:szCs w:val="24"/>
              </w:rPr>
              <w:t>80 875</w:t>
            </w:r>
          </w:p>
        </w:tc>
      </w:tr>
      <w:tr w:rsidR="0003505B" w:rsidTr="00801D73">
        <w:tc>
          <w:tcPr>
            <w:tcW w:w="1699" w:type="dxa"/>
          </w:tcPr>
          <w:p w:rsidR="00197EBE" w:rsidRDefault="0003505B" w:rsidP="00971DEF">
            <w:pPr>
              <w:pStyle w:val="NoSpacing"/>
              <w:rPr>
                <w:rFonts w:ascii="Arial Black" w:hAnsi="Arial Black"/>
                <w:b/>
                <w:sz w:val="24"/>
                <w:szCs w:val="24"/>
              </w:rPr>
            </w:pPr>
            <w:r>
              <w:rPr>
                <w:rFonts w:ascii="Arial Black" w:hAnsi="Arial Black"/>
                <w:b/>
                <w:sz w:val="24"/>
                <w:szCs w:val="24"/>
              </w:rPr>
              <w:t>Interest rate risk</w:t>
            </w:r>
          </w:p>
        </w:tc>
        <w:tc>
          <w:tcPr>
            <w:tcW w:w="1233" w:type="dxa"/>
          </w:tcPr>
          <w:p w:rsidR="00197EBE" w:rsidRDefault="00801D73" w:rsidP="00971DEF">
            <w:pPr>
              <w:pStyle w:val="NoSpacing"/>
              <w:rPr>
                <w:rFonts w:ascii="Arial Black" w:hAnsi="Arial Black"/>
                <w:b/>
                <w:sz w:val="24"/>
                <w:szCs w:val="24"/>
              </w:rPr>
            </w:pPr>
            <w:r w:rsidRPr="00801D73">
              <w:rPr>
                <w:rFonts w:ascii="Arial Black" w:hAnsi="Arial Black"/>
                <w:b/>
                <w:sz w:val="24"/>
                <w:szCs w:val="24"/>
              </w:rPr>
              <w:t>65 249</w:t>
            </w:r>
          </w:p>
        </w:tc>
        <w:tc>
          <w:tcPr>
            <w:tcW w:w="1276" w:type="dxa"/>
          </w:tcPr>
          <w:p w:rsidR="00197EBE" w:rsidRDefault="00801D73" w:rsidP="00971DEF">
            <w:pPr>
              <w:pStyle w:val="NoSpacing"/>
              <w:rPr>
                <w:rFonts w:ascii="Arial Black" w:hAnsi="Arial Black"/>
                <w:b/>
                <w:sz w:val="24"/>
                <w:szCs w:val="24"/>
              </w:rPr>
            </w:pPr>
            <w:r w:rsidRPr="00801D73">
              <w:rPr>
                <w:rFonts w:ascii="Arial Black" w:hAnsi="Arial Black"/>
                <w:b/>
                <w:sz w:val="24"/>
                <w:szCs w:val="24"/>
              </w:rPr>
              <w:t>80 658</w:t>
            </w:r>
          </w:p>
        </w:tc>
        <w:tc>
          <w:tcPr>
            <w:tcW w:w="1134" w:type="dxa"/>
          </w:tcPr>
          <w:p w:rsidR="00197EBE" w:rsidRDefault="00801D73" w:rsidP="00971DEF">
            <w:pPr>
              <w:pStyle w:val="NoSpacing"/>
              <w:rPr>
                <w:rFonts w:ascii="Arial Black" w:hAnsi="Arial Black"/>
                <w:b/>
                <w:sz w:val="24"/>
                <w:szCs w:val="24"/>
              </w:rPr>
            </w:pPr>
            <w:r w:rsidRPr="00801D73">
              <w:rPr>
                <w:rFonts w:ascii="Arial Black" w:hAnsi="Arial Black"/>
                <w:b/>
                <w:sz w:val="24"/>
                <w:szCs w:val="24"/>
              </w:rPr>
              <w:t>98 504</w:t>
            </w:r>
          </w:p>
        </w:tc>
        <w:tc>
          <w:tcPr>
            <w:tcW w:w="1134" w:type="dxa"/>
          </w:tcPr>
          <w:p w:rsidR="00197EBE" w:rsidRDefault="00801D73" w:rsidP="00971DEF">
            <w:pPr>
              <w:pStyle w:val="NoSpacing"/>
              <w:rPr>
                <w:rFonts w:ascii="Arial Black" w:hAnsi="Arial Black"/>
                <w:b/>
                <w:sz w:val="24"/>
                <w:szCs w:val="24"/>
              </w:rPr>
            </w:pPr>
            <w:r w:rsidRPr="00801D73">
              <w:rPr>
                <w:rFonts w:ascii="Arial Black" w:hAnsi="Arial Black"/>
                <w:b/>
                <w:sz w:val="24"/>
                <w:szCs w:val="24"/>
              </w:rPr>
              <w:t>91 514</w:t>
            </w:r>
          </w:p>
        </w:tc>
        <w:tc>
          <w:tcPr>
            <w:tcW w:w="1134" w:type="dxa"/>
          </w:tcPr>
          <w:p w:rsidR="00197EBE" w:rsidRDefault="00801D73" w:rsidP="00971DEF">
            <w:pPr>
              <w:pStyle w:val="NoSpacing"/>
              <w:rPr>
                <w:rFonts w:ascii="Arial Black" w:hAnsi="Arial Black"/>
                <w:b/>
                <w:sz w:val="24"/>
                <w:szCs w:val="24"/>
              </w:rPr>
            </w:pPr>
            <w:r w:rsidRPr="00801D73">
              <w:rPr>
                <w:rFonts w:ascii="Arial Black" w:hAnsi="Arial Black"/>
                <w:b/>
                <w:sz w:val="24"/>
                <w:szCs w:val="24"/>
              </w:rPr>
              <w:t>31 150</w:t>
            </w:r>
          </w:p>
        </w:tc>
        <w:tc>
          <w:tcPr>
            <w:tcW w:w="1276" w:type="dxa"/>
          </w:tcPr>
          <w:p w:rsidR="00197EBE" w:rsidRDefault="00801D73" w:rsidP="00971DEF">
            <w:pPr>
              <w:pStyle w:val="NoSpacing"/>
              <w:rPr>
                <w:rFonts w:ascii="Arial Black" w:hAnsi="Arial Black"/>
                <w:b/>
                <w:sz w:val="24"/>
                <w:szCs w:val="24"/>
              </w:rPr>
            </w:pPr>
            <w:r w:rsidRPr="00801D73">
              <w:rPr>
                <w:rFonts w:ascii="Arial Black" w:hAnsi="Arial Black"/>
                <w:b/>
                <w:sz w:val="24"/>
                <w:szCs w:val="24"/>
              </w:rPr>
              <w:t>80 875</w:t>
            </w:r>
          </w:p>
        </w:tc>
      </w:tr>
      <w:tr w:rsidR="0003505B" w:rsidTr="00801D73">
        <w:tc>
          <w:tcPr>
            <w:tcW w:w="1699" w:type="dxa"/>
          </w:tcPr>
          <w:p w:rsidR="00197EBE" w:rsidRDefault="0003505B" w:rsidP="00971DEF">
            <w:pPr>
              <w:pStyle w:val="NoSpacing"/>
              <w:rPr>
                <w:rFonts w:ascii="Arial Black" w:hAnsi="Arial Black"/>
                <w:b/>
                <w:sz w:val="24"/>
                <w:szCs w:val="24"/>
              </w:rPr>
            </w:pPr>
            <w:r>
              <w:rPr>
                <w:rFonts w:ascii="Arial Black" w:hAnsi="Arial Black"/>
                <w:b/>
                <w:sz w:val="24"/>
                <w:szCs w:val="24"/>
              </w:rPr>
              <w:t>Equity risk</w:t>
            </w:r>
          </w:p>
        </w:tc>
        <w:tc>
          <w:tcPr>
            <w:tcW w:w="1233" w:type="dxa"/>
          </w:tcPr>
          <w:p w:rsidR="00197EBE" w:rsidRDefault="00197EBE" w:rsidP="00971DEF">
            <w:pPr>
              <w:pStyle w:val="NoSpacing"/>
              <w:rPr>
                <w:rFonts w:ascii="Arial Black" w:hAnsi="Arial Black"/>
                <w:b/>
                <w:sz w:val="24"/>
                <w:szCs w:val="24"/>
              </w:rPr>
            </w:pPr>
          </w:p>
        </w:tc>
        <w:tc>
          <w:tcPr>
            <w:tcW w:w="1276" w:type="dxa"/>
          </w:tcPr>
          <w:p w:rsidR="00197EBE" w:rsidRDefault="00197EBE" w:rsidP="00971DEF">
            <w:pPr>
              <w:pStyle w:val="NoSpacing"/>
              <w:rPr>
                <w:rFonts w:ascii="Arial Black" w:hAnsi="Arial Black"/>
                <w:b/>
                <w:sz w:val="24"/>
                <w:szCs w:val="24"/>
              </w:rPr>
            </w:pPr>
          </w:p>
        </w:tc>
        <w:tc>
          <w:tcPr>
            <w:tcW w:w="1134" w:type="dxa"/>
          </w:tcPr>
          <w:p w:rsidR="00197EBE" w:rsidRDefault="00197EBE" w:rsidP="00971DEF">
            <w:pPr>
              <w:pStyle w:val="NoSpacing"/>
              <w:rPr>
                <w:rFonts w:ascii="Arial Black" w:hAnsi="Arial Black"/>
                <w:b/>
                <w:sz w:val="24"/>
                <w:szCs w:val="24"/>
              </w:rPr>
            </w:pPr>
          </w:p>
        </w:tc>
        <w:tc>
          <w:tcPr>
            <w:tcW w:w="1134" w:type="dxa"/>
          </w:tcPr>
          <w:p w:rsidR="00197EBE" w:rsidRDefault="00197EBE" w:rsidP="00971DEF">
            <w:pPr>
              <w:pStyle w:val="NoSpacing"/>
              <w:rPr>
                <w:rFonts w:ascii="Arial Black" w:hAnsi="Arial Black"/>
                <w:b/>
                <w:sz w:val="24"/>
                <w:szCs w:val="24"/>
              </w:rPr>
            </w:pPr>
          </w:p>
        </w:tc>
        <w:tc>
          <w:tcPr>
            <w:tcW w:w="1134" w:type="dxa"/>
          </w:tcPr>
          <w:p w:rsidR="00197EBE" w:rsidRDefault="00197EBE" w:rsidP="00971DEF">
            <w:pPr>
              <w:pStyle w:val="NoSpacing"/>
              <w:rPr>
                <w:rFonts w:ascii="Arial Black" w:hAnsi="Arial Black"/>
                <w:b/>
                <w:sz w:val="24"/>
                <w:szCs w:val="24"/>
              </w:rPr>
            </w:pPr>
          </w:p>
        </w:tc>
        <w:tc>
          <w:tcPr>
            <w:tcW w:w="1276" w:type="dxa"/>
          </w:tcPr>
          <w:p w:rsidR="00197EBE" w:rsidRDefault="00197EBE" w:rsidP="00971DEF">
            <w:pPr>
              <w:pStyle w:val="NoSpacing"/>
              <w:rPr>
                <w:rFonts w:ascii="Arial Black" w:hAnsi="Arial Black"/>
                <w:b/>
                <w:sz w:val="24"/>
                <w:szCs w:val="24"/>
              </w:rPr>
            </w:pPr>
          </w:p>
        </w:tc>
      </w:tr>
      <w:tr w:rsidR="0003505B" w:rsidTr="00801D73">
        <w:tc>
          <w:tcPr>
            <w:tcW w:w="1699" w:type="dxa"/>
          </w:tcPr>
          <w:p w:rsidR="00197EBE" w:rsidRDefault="0003505B" w:rsidP="00971DEF">
            <w:pPr>
              <w:pStyle w:val="NoSpacing"/>
              <w:rPr>
                <w:rFonts w:ascii="Arial Black" w:hAnsi="Arial Black"/>
                <w:b/>
                <w:sz w:val="24"/>
                <w:szCs w:val="24"/>
              </w:rPr>
            </w:pPr>
            <w:r>
              <w:rPr>
                <w:rFonts w:ascii="Arial Black" w:hAnsi="Arial Black"/>
                <w:b/>
                <w:sz w:val="24"/>
                <w:szCs w:val="24"/>
              </w:rPr>
              <w:t>FX risk</w:t>
            </w:r>
          </w:p>
        </w:tc>
        <w:tc>
          <w:tcPr>
            <w:tcW w:w="1233" w:type="dxa"/>
          </w:tcPr>
          <w:p w:rsidR="00197EBE" w:rsidRDefault="00801D73" w:rsidP="00971DEF">
            <w:pPr>
              <w:pStyle w:val="NoSpacing"/>
              <w:rPr>
                <w:rFonts w:ascii="Arial Black" w:hAnsi="Arial Black"/>
                <w:b/>
                <w:sz w:val="24"/>
                <w:szCs w:val="24"/>
              </w:rPr>
            </w:pPr>
            <w:r w:rsidRPr="00801D73">
              <w:rPr>
                <w:rFonts w:ascii="Arial Black" w:hAnsi="Arial Black"/>
                <w:b/>
                <w:sz w:val="24"/>
                <w:szCs w:val="24"/>
              </w:rPr>
              <w:t>1 071</w:t>
            </w:r>
          </w:p>
        </w:tc>
        <w:tc>
          <w:tcPr>
            <w:tcW w:w="1276" w:type="dxa"/>
          </w:tcPr>
          <w:p w:rsidR="00197EBE" w:rsidRDefault="00801D73" w:rsidP="00971DEF">
            <w:pPr>
              <w:pStyle w:val="NoSpacing"/>
              <w:rPr>
                <w:rFonts w:ascii="Arial Black" w:hAnsi="Arial Black"/>
                <w:b/>
                <w:sz w:val="24"/>
                <w:szCs w:val="24"/>
              </w:rPr>
            </w:pPr>
            <w:r w:rsidRPr="00801D73">
              <w:rPr>
                <w:rFonts w:ascii="Arial Black" w:hAnsi="Arial Black"/>
                <w:b/>
                <w:sz w:val="24"/>
                <w:szCs w:val="24"/>
              </w:rPr>
              <w:t>4 026</w:t>
            </w:r>
          </w:p>
        </w:tc>
        <w:tc>
          <w:tcPr>
            <w:tcW w:w="1134" w:type="dxa"/>
          </w:tcPr>
          <w:p w:rsidR="00197EBE" w:rsidRDefault="00801D73" w:rsidP="00971DEF">
            <w:pPr>
              <w:pStyle w:val="NoSpacing"/>
              <w:rPr>
                <w:rFonts w:ascii="Arial Black" w:hAnsi="Arial Black"/>
                <w:b/>
                <w:sz w:val="24"/>
                <w:szCs w:val="24"/>
              </w:rPr>
            </w:pPr>
            <w:r w:rsidRPr="00801D73">
              <w:rPr>
                <w:rFonts w:ascii="Arial Black" w:hAnsi="Arial Black"/>
                <w:b/>
                <w:sz w:val="24"/>
                <w:szCs w:val="24"/>
              </w:rPr>
              <w:t>11 952</w:t>
            </w:r>
          </w:p>
        </w:tc>
        <w:tc>
          <w:tcPr>
            <w:tcW w:w="1134" w:type="dxa"/>
          </w:tcPr>
          <w:p w:rsidR="00197EBE" w:rsidRDefault="00801D73" w:rsidP="00971DEF">
            <w:pPr>
              <w:pStyle w:val="NoSpacing"/>
              <w:rPr>
                <w:rFonts w:ascii="Arial Black" w:hAnsi="Arial Black"/>
                <w:b/>
                <w:sz w:val="24"/>
                <w:szCs w:val="24"/>
              </w:rPr>
            </w:pPr>
            <w:r w:rsidRPr="00801D73">
              <w:rPr>
                <w:rFonts w:ascii="Arial Black" w:hAnsi="Arial Black"/>
                <w:b/>
                <w:sz w:val="24"/>
                <w:szCs w:val="24"/>
              </w:rPr>
              <w:t>3 624</w:t>
            </w:r>
          </w:p>
        </w:tc>
        <w:tc>
          <w:tcPr>
            <w:tcW w:w="1134" w:type="dxa"/>
          </w:tcPr>
          <w:p w:rsidR="00197EBE" w:rsidRDefault="00801D73" w:rsidP="00971DEF">
            <w:pPr>
              <w:pStyle w:val="NoSpacing"/>
              <w:rPr>
                <w:rFonts w:ascii="Arial Black" w:hAnsi="Arial Black"/>
                <w:b/>
                <w:sz w:val="24"/>
                <w:szCs w:val="24"/>
              </w:rPr>
            </w:pPr>
            <w:r w:rsidRPr="00801D73">
              <w:rPr>
                <w:rFonts w:ascii="Arial Black" w:hAnsi="Arial Black"/>
                <w:b/>
                <w:sz w:val="24"/>
                <w:szCs w:val="24"/>
              </w:rPr>
              <w:t>3 779</w:t>
            </w:r>
          </w:p>
        </w:tc>
        <w:tc>
          <w:tcPr>
            <w:tcW w:w="1276" w:type="dxa"/>
          </w:tcPr>
          <w:p w:rsidR="00197EBE" w:rsidRDefault="00801D73" w:rsidP="00971DEF">
            <w:pPr>
              <w:pStyle w:val="NoSpacing"/>
              <w:rPr>
                <w:rFonts w:ascii="Arial Black" w:hAnsi="Arial Black"/>
                <w:b/>
                <w:sz w:val="24"/>
                <w:szCs w:val="24"/>
              </w:rPr>
            </w:pPr>
            <w:r w:rsidRPr="00801D73">
              <w:rPr>
                <w:rFonts w:ascii="Arial Black" w:hAnsi="Arial Black"/>
                <w:b/>
                <w:sz w:val="24"/>
                <w:szCs w:val="24"/>
              </w:rPr>
              <w:t>80 875</w:t>
            </w:r>
          </w:p>
        </w:tc>
      </w:tr>
      <w:tr w:rsidR="0003505B" w:rsidTr="00801D73">
        <w:tc>
          <w:tcPr>
            <w:tcW w:w="1699" w:type="dxa"/>
          </w:tcPr>
          <w:p w:rsidR="00197EBE" w:rsidRDefault="0003505B" w:rsidP="00971DEF">
            <w:pPr>
              <w:pStyle w:val="NoSpacing"/>
              <w:rPr>
                <w:rFonts w:ascii="Arial Black" w:hAnsi="Arial Black"/>
                <w:b/>
                <w:sz w:val="24"/>
                <w:szCs w:val="24"/>
              </w:rPr>
            </w:pPr>
            <w:r>
              <w:rPr>
                <w:rFonts w:ascii="Arial Black" w:hAnsi="Arial Black"/>
                <w:b/>
                <w:sz w:val="24"/>
                <w:szCs w:val="24"/>
              </w:rPr>
              <w:t>Commodity risk</w:t>
            </w:r>
          </w:p>
        </w:tc>
        <w:tc>
          <w:tcPr>
            <w:tcW w:w="1233" w:type="dxa"/>
          </w:tcPr>
          <w:p w:rsidR="00197EBE" w:rsidRDefault="00197EBE" w:rsidP="00971DEF">
            <w:pPr>
              <w:pStyle w:val="NoSpacing"/>
              <w:rPr>
                <w:rFonts w:ascii="Arial Black" w:hAnsi="Arial Black"/>
                <w:b/>
                <w:sz w:val="24"/>
                <w:szCs w:val="24"/>
              </w:rPr>
            </w:pPr>
          </w:p>
        </w:tc>
        <w:tc>
          <w:tcPr>
            <w:tcW w:w="1276" w:type="dxa"/>
          </w:tcPr>
          <w:p w:rsidR="00197EBE" w:rsidRDefault="00197EBE" w:rsidP="00971DEF">
            <w:pPr>
              <w:pStyle w:val="NoSpacing"/>
              <w:rPr>
                <w:rFonts w:ascii="Arial Black" w:hAnsi="Arial Black"/>
                <w:b/>
                <w:sz w:val="24"/>
                <w:szCs w:val="24"/>
              </w:rPr>
            </w:pPr>
          </w:p>
        </w:tc>
        <w:tc>
          <w:tcPr>
            <w:tcW w:w="1134" w:type="dxa"/>
          </w:tcPr>
          <w:p w:rsidR="00197EBE" w:rsidRDefault="00197EBE" w:rsidP="00971DEF">
            <w:pPr>
              <w:pStyle w:val="NoSpacing"/>
              <w:rPr>
                <w:rFonts w:ascii="Arial Black" w:hAnsi="Arial Black"/>
                <w:b/>
                <w:sz w:val="24"/>
                <w:szCs w:val="24"/>
              </w:rPr>
            </w:pPr>
          </w:p>
        </w:tc>
        <w:tc>
          <w:tcPr>
            <w:tcW w:w="1134" w:type="dxa"/>
          </w:tcPr>
          <w:p w:rsidR="00197EBE" w:rsidRDefault="00197EBE" w:rsidP="00971DEF">
            <w:pPr>
              <w:pStyle w:val="NoSpacing"/>
              <w:rPr>
                <w:rFonts w:ascii="Arial Black" w:hAnsi="Arial Black"/>
                <w:b/>
                <w:sz w:val="24"/>
                <w:szCs w:val="24"/>
              </w:rPr>
            </w:pPr>
          </w:p>
        </w:tc>
        <w:tc>
          <w:tcPr>
            <w:tcW w:w="1134" w:type="dxa"/>
          </w:tcPr>
          <w:p w:rsidR="00197EBE" w:rsidRDefault="00197EBE" w:rsidP="00971DEF">
            <w:pPr>
              <w:pStyle w:val="NoSpacing"/>
              <w:rPr>
                <w:rFonts w:ascii="Arial Black" w:hAnsi="Arial Black"/>
                <w:b/>
                <w:sz w:val="24"/>
                <w:szCs w:val="24"/>
              </w:rPr>
            </w:pPr>
          </w:p>
        </w:tc>
        <w:tc>
          <w:tcPr>
            <w:tcW w:w="1276" w:type="dxa"/>
          </w:tcPr>
          <w:p w:rsidR="00197EBE" w:rsidRDefault="00197EBE" w:rsidP="00971DEF">
            <w:pPr>
              <w:pStyle w:val="NoSpacing"/>
              <w:rPr>
                <w:rFonts w:ascii="Arial Black" w:hAnsi="Arial Black"/>
                <w:b/>
                <w:sz w:val="24"/>
                <w:szCs w:val="24"/>
              </w:rPr>
            </w:pPr>
          </w:p>
        </w:tc>
      </w:tr>
      <w:tr w:rsidR="0003505B" w:rsidTr="00801D73">
        <w:tc>
          <w:tcPr>
            <w:tcW w:w="1699" w:type="dxa"/>
          </w:tcPr>
          <w:p w:rsidR="00197EBE" w:rsidRDefault="0003505B" w:rsidP="00971DEF">
            <w:pPr>
              <w:pStyle w:val="NoSpacing"/>
              <w:rPr>
                <w:rFonts w:ascii="Arial Black" w:hAnsi="Arial Black"/>
                <w:b/>
                <w:sz w:val="24"/>
                <w:szCs w:val="24"/>
              </w:rPr>
            </w:pPr>
            <w:r>
              <w:rPr>
                <w:rFonts w:ascii="Arial Black" w:hAnsi="Arial Black"/>
                <w:b/>
                <w:sz w:val="24"/>
                <w:szCs w:val="24"/>
              </w:rPr>
              <w:t>Other</w:t>
            </w:r>
          </w:p>
        </w:tc>
        <w:tc>
          <w:tcPr>
            <w:tcW w:w="1233" w:type="dxa"/>
          </w:tcPr>
          <w:p w:rsidR="00197EBE" w:rsidRDefault="00197EBE" w:rsidP="00971DEF">
            <w:pPr>
              <w:pStyle w:val="NoSpacing"/>
              <w:rPr>
                <w:rFonts w:ascii="Arial Black" w:hAnsi="Arial Black"/>
                <w:b/>
                <w:sz w:val="24"/>
                <w:szCs w:val="24"/>
              </w:rPr>
            </w:pPr>
          </w:p>
        </w:tc>
        <w:tc>
          <w:tcPr>
            <w:tcW w:w="1276" w:type="dxa"/>
          </w:tcPr>
          <w:p w:rsidR="00197EBE" w:rsidRDefault="00197EBE" w:rsidP="00971DEF">
            <w:pPr>
              <w:pStyle w:val="NoSpacing"/>
              <w:rPr>
                <w:rFonts w:ascii="Arial Black" w:hAnsi="Arial Black"/>
                <w:b/>
                <w:sz w:val="24"/>
                <w:szCs w:val="24"/>
              </w:rPr>
            </w:pPr>
          </w:p>
        </w:tc>
        <w:tc>
          <w:tcPr>
            <w:tcW w:w="1134" w:type="dxa"/>
          </w:tcPr>
          <w:p w:rsidR="00197EBE" w:rsidRDefault="00197EBE" w:rsidP="00971DEF">
            <w:pPr>
              <w:pStyle w:val="NoSpacing"/>
              <w:rPr>
                <w:rFonts w:ascii="Arial Black" w:hAnsi="Arial Black"/>
                <w:b/>
                <w:sz w:val="24"/>
                <w:szCs w:val="24"/>
              </w:rPr>
            </w:pPr>
          </w:p>
        </w:tc>
        <w:tc>
          <w:tcPr>
            <w:tcW w:w="1134" w:type="dxa"/>
          </w:tcPr>
          <w:p w:rsidR="00197EBE" w:rsidRDefault="00197EBE" w:rsidP="00971DEF">
            <w:pPr>
              <w:pStyle w:val="NoSpacing"/>
              <w:rPr>
                <w:rFonts w:ascii="Arial Black" w:hAnsi="Arial Black"/>
                <w:b/>
                <w:sz w:val="24"/>
                <w:szCs w:val="24"/>
              </w:rPr>
            </w:pPr>
          </w:p>
        </w:tc>
        <w:tc>
          <w:tcPr>
            <w:tcW w:w="1134" w:type="dxa"/>
          </w:tcPr>
          <w:p w:rsidR="00197EBE" w:rsidRDefault="00197EBE" w:rsidP="00971DEF">
            <w:pPr>
              <w:pStyle w:val="NoSpacing"/>
              <w:rPr>
                <w:rFonts w:ascii="Arial Black" w:hAnsi="Arial Black"/>
                <w:b/>
                <w:sz w:val="24"/>
                <w:szCs w:val="24"/>
              </w:rPr>
            </w:pPr>
          </w:p>
        </w:tc>
        <w:tc>
          <w:tcPr>
            <w:tcW w:w="1276" w:type="dxa"/>
          </w:tcPr>
          <w:p w:rsidR="00197EBE" w:rsidRDefault="00197EBE" w:rsidP="00971DEF">
            <w:pPr>
              <w:pStyle w:val="NoSpacing"/>
              <w:rPr>
                <w:rFonts w:ascii="Arial Black" w:hAnsi="Arial Black"/>
                <w:b/>
                <w:sz w:val="24"/>
                <w:szCs w:val="24"/>
              </w:rPr>
            </w:pPr>
          </w:p>
        </w:tc>
      </w:tr>
      <w:tr w:rsidR="0003505B" w:rsidTr="00801D73">
        <w:tc>
          <w:tcPr>
            <w:tcW w:w="1699" w:type="dxa"/>
          </w:tcPr>
          <w:p w:rsidR="00197EBE" w:rsidRDefault="00197EBE" w:rsidP="00971DEF">
            <w:pPr>
              <w:pStyle w:val="NoSpacing"/>
              <w:rPr>
                <w:rFonts w:ascii="Arial Black" w:hAnsi="Arial Black"/>
                <w:b/>
                <w:sz w:val="24"/>
                <w:szCs w:val="24"/>
              </w:rPr>
            </w:pPr>
          </w:p>
        </w:tc>
        <w:tc>
          <w:tcPr>
            <w:tcW w:w="1233" w:type="dxa"/>
          </w:tcPr>
          <w:p w:rsidR="00197EBE" w:rsidRDefault="00197EBE" w:rsidP="00971DEF">
            <w:pPr>
              <w:pStyle w:val="NoSpacing"/>
              <w:rPr>
                <w:rFonts w:ascii="Arial Black" w:hAnsi="Arial Black"/>
                <w:b/>
                <w:sz w:val="24"/>
                <w:szCs w:val="24"/>
              </w:rPr>
            </w:pPr>
          </w:p>
        </w:tc>
        <w:tc>
          <w:tcPr>
            <w:tcW w:w="1276" w:type="dxa"/>
          </w:tcPr>
          <w:p w:rsidR="00197EBE" w:rsidRDefault="00197EBE" w:rsidP="00971DEF">
            <w:pPr>
              <w:pStyle w:val="NoSpacing"/>
              <w:rPr>
                <w:rFonts w:ascii="Arial Black" w:hAnsi="Arial Black"/>
                <w:b/>
                <w:sz w:val="24"/>
                <w:szCs w:val="24"/>
              </w:rPr>
            </w:pPr>
          </w:p>
        </w:tc>
        <w:tc>
          <w:tcPr>
            <w:tcW w:w="1134" w:type="dxa"/>
          </w:tcPr>
          <w:p w:rsidR="00197EBE" w:rsidRDefault="00197EBE" w:rsidP="00971DEF">
            <w:pPr>
              <w:pStyle w:val="NoSpacing"/>
              <w:rPr>
                <w:rFonts w:ascii="Arial Black" w:hAnsi="Arial Black"/>
                <w:b/>
                <w:sz w:val="24"/>
                <w:szCs w:val="24"/>
              </w:rPr>
            </w:pPr>
          </w:p>
        </w:tc>
        <w:tc>
          <w:tcPr>
            <w:tcW w:w="1134" w:type="dxa"/>
          </w:tcPr>
          <w:p w:rsidR="00197EBE" w:rsidRDefault="00197EBE" w:rsidP="00971DEF">
            <w:pPr>
              <w:pStyle w:val="NoSpacing"/>
              <w:rPr>
                <w:rFonts w:ascii="Arial Black" w:hAnsi="Arial Black"/>
                <w:b/>
                <w:sz w:val="24"/>
                <w:szCs w:val="24"/>
              </w:rPr>
            </w:pPr>
          </w:p>
        </w:tc>
        <w:tc>
          <w:tcPr>
            <w:tcW w:w="1134" w:type="dxa"/>
          </w:tcPr>
          <w:p w:rsidR="00197EBE" w:rsidRDefault="00197EBE" w:rsidP="00971DEF">
            <w:pPr>
              <w:pStyle w:val="NoSpacing"/>
              <w:rPr>
                <w:rFonts w:ascii="Arial Black" w:hAnsi="Arial Black"/>
                <w:b/>
                <w:sz w:val="24"/>
                <w:szCs w:val="24"/>
              </w:rPr>
            </w:pPr>
          </w:p>
        </w:tc>
        <w:tc>
          <w:tcPr>
            <w:tcW w:w="1276" w:type="dxa"/>
          </w:tcPr>
          <w:p w:rsidR="00197EBE" w:rsidRDefault="00197EBE" w:rsidP="00971DEF">
            <w:pPr>
              <w:pStyle w:val="NoSpacing"/>
              <w:rPr>
                <w:rFonts w:ascii="Arial Black" w:hAnsi="Arial Black"/>
                <w:b/>
                <w:sz w:val="24"/>
                <w:szCs w:val="24"/>
              </w:rPr>
            </w:pPr>
          </w:p>
        </w:tc>
      </w:tr>
    </w:tbl>
    <w:p w:rsidR="00197EBE" w:rsidRDefault="00197EBE" w:rsidP="00971DEF">
      <w:pPr>
        <w:pStyle w:val="NoSpacing"/>
        <w:ind w:left="720"/>
        <w:rPr>
          <w:rFonts w:ascii="Arial Black" w:hAnsi="Arial Black"/>
          <w:b/>
          <w:sz w:val="24"/>
          <w:szCs w:val="24"/>
        </w:rPr>
      </w:pPr>
    </w:p>
    <w:p w:rsidR="0003505B" w:rsidRDefault="0003505B" w:rsidP="00971DEF">
      <w:pPr>
        <w:pStyle w:val="NoSpacing"/>
        <w:ind w:left="720"/>
        <w:rPr>
          <w:rFonts w:ascii="Arial Black" w:hAnsi="Arial Black"/>
          <w:b/>
          <w:sz w:val="24"/>
          <w:szCs w:val="24"/>
        </w:rPr>
      </w:pPr>
    </w:p>
    <w:p w:rsidR="001D6937" w:rsidRDefault="001D6937" w:rsidP="001D6937">
      <w:pPr>
        <w:pStyle w:val="NoSpacing"/>
        <w:rPr>
          <w:rFonts w:ascii="Arial Black" w:hAnsi="Arial Black"/>
          <w:b/>
          <w:sz w:val="24"/>
          <w:szCs w:val="24"/>
          <w:lang w:val="en-GB"/>
        </w:rPr>
      </w:pPr>
    </w:p>
    <w:p w:rsidR="001D6937" w:rsidRDefault="001D6937" w:rsidP="001D6937">
      <w:pPr>
        <w:pStyle w:val="NoSpacing"/>
        <w:ind w:left="720"/>
        <w:rPr>
          <w:rFonts w:ascii="Arial Black" w:hAnsi="Arial Black"/>
          <w:b/>
          <w:sz w:val="24"/>
          <w:szCs w:val="24"/>
          <w:lang w:val="en-GB"/>
        </w:rPr>
      </w:pPr>
      <w:r>
        <w:rPr>
          <w:rFonts w:ascii="Arial Black" w:hAnsi="Arial Black"/>
          <w:b/>
          <w:sz w:val="24"/>
          <w:szCs w:val="24"/>
          <w:lang w:val="en-GB"/>
        </w:rPr>
        <w:t>The risk weighted assets (RWA) applied to market risk</w:t>
      </w:r>
    </w:p>
    <w:tbl>
      <w:tblPr>
        <w:tblStyle w:val="TableGrid"/>
        <w:tblW w:w="0" w:type="auto"/>
        <w:tblInd w:w="817" w:type="dxa"/>
        <w:tblLayout w:type="fixed"/>
        <w:tblLook w:val="04A0" w:firstRow="1" w:lastRow="0" w:firstColumn="1" w:lastColumn="0" w:noHBand="0" w:noVBand="1"/>
      </w:tblPr>
      <w:tblGrid>
        <w:gridCol w:w="5524"/>
        <w:gridCol w:w="2428"/>
      </w:tblGrid>
      <w:tr w:rsidR="001D6937" w:rsidTr="001D6937">
        <w:tc>
          <w:tcPr>
            <w:tcW w:w="5524" w:type="dxa"/>
            <w:shd w:val="clear" w:color="auto" w:fill="C6D9F1" w:themeFill="text2" w:themeFillTint="33"/>
          </w:tcPr>
          <w:p w:rsidR="001D6937" w:rsidRDefault="001D6937" w:rsidP="009B7D51">
            <w:pPr>
              <w:pStyle w:val="NoSpacing"/>
              <w:rPr>
                <w:rFonts w:ascii="Arial Black" w:hAnsi="Arial Black"/>
                <w:b/>
                <w:sz w:val="24"/>
                <w:szCs w:val="24"/>
              </w:rPr>
            </w:pPr>
            <w:r w:rsidRPr="001D6937">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31 Dec 2014  </w:t>
            </w:r>
            <w:r>
              <w:rPr>
                <w:rFonts w:ascii="Arial Black" w:hAnsi="Arial Black"/>
                <w:b/>
                <w:sz w:val="24"/>
                <w:szCs w:val="24"/>
              </w:rPr>
              <w:t>ZAR ‘000</w:t>
            </w:r>
          </w:p>
        </w:tc>
        <w:tc>
          <w:tcPr>
            <w:tcW w:w="2428" w:type="dxa"/>
            <w:shd w:val="clear" w:color="auto" w:fill="C6D9F1" w:themeFill="text2" w:themeFillTint="33"/>
          </w:tcPr>
          <w:p w:rsidR="001D6937" w:rsidRDefault="001D6937" w:rsidP="009B7D51">
            <w:pPr>
              <w:pStyle w:val="NoSpacing"/>
              <w:rPr>
                <w:rFonts w:ascii="Arial Black" w:hAnsi="Arial Black"/>
                <w:b/>
                <w:sz w:val="24"/>
                <w:szCs w:val="24"/>
              </w:rPr>
            </w:pPr>
            <w:r>
              <w:rPr>
                <w:rFonts w:ascii="Arial Black" w:hAnsi="Arial Black"/>
                <w:b/>
                <w:sz w:val="24"/>
                <w:szCs w:val="24"/>
              </w:rPr>
              <w:t>Total</w:t>
            </w:r>
          </w:p>
        </w:tc>
      </w:tr>
      <w:tr w:rsidR="001D6937" w:rsidTr="001D6937">
        <w:tc>
          <w:tcPr>
            <w:tcW w:w="5524" w:type="dxa"/>
          </w:tcPr>
          <w:p w:rsidR="001D6937" w:rsidRDefault="001D6937" w:rsidP="009B7D51">
            <w:pPr>
              <w:pStyle w:val="NoSpacing"/>
              <w:rPr>
                <w:rFonts w:ascii="Arial Black" w:hAnsi="Arial Black"/>
                <w:b/>
                <w:sz w:val="24"/>
                <w:szCs w:val="24"/>
              </w:rPr>
            </w:pPr>
            <w:r>
              <w:rPr>
                <w:rFonts w:ascii="Arial Black" w:hAnsi="Arial Black"/>
                <w:b/>
                <w:sz w:val="24"/>
                <w:szCs w:val="24"/>
              </w:rPr>
              <w:t>RWA for market risk</w:t>
            </w:r>
          </w:p>
        </w:tc>
        <w:tc>
          <w:tcPr>
            <w:tcW w:w="2428" w:type="dxa"/>
          </w:tcPr>
          <w:p w:rsidR="001D6937" w:rsidRDefault="00CB2A89" w:rsidP="009B7D51">
            <w:pPr>
              <w:pStyle w:val="NoSpacing"/>
              <w:rPr>
                <w:rFonts w:ascii="Arial Black" w:hAnsi="Arial Black"/>
                <w:b/>
                <w:sz w:val="24"/>
                <w:szCs w:val="24"/>
              </w:rPr>
            </w:pPr>
            <w:r w:rsidRPr="00CB2A89">
              <w:rPr>
                <w:rFonts w:ascii="Arial Black" w:hAnsi="Arial Black"/>
                <w:b/>
                <w:sz w:val="24"/>
                <w:szCs w:val="24"/>
              </w:rPr>
              <w:t>7 074 793</w:t>
            </w:r>
          </w:p>
        </w:tc>
      </w:tr>
    </w:tbl>
    <w:p w:rsidR="00971DEF" w:rsidRDefault="00971DEF" w:rsidP="0003505B">
      <w:pPr>
        <w:pStyle w:val="NoSpacing"/>
        <w:ind w:left="720"/>
        <w:rPr>
          <w:rFonts w:ascii="Arial Black" w:hAnsi="Arial Black"/>
          <w:b/>
          <w:sz w:val="24"/>
          <w:szCs w:val="24"/>
        </w:rPr>
      </w:pPr>
    </w:p>
    <w:p w:rsidR="00216F23" w:rsidRDefault="00216F23" w:rsidP="0003505B">
      <w:pPr>
        <w:pStyle w:val="NoSpacing"/>
        <w:ind w:left="720"/>
        <w:rPr>
          <w:rFonts w:ascii="Arial Black" w:hAnsi="Arial Black"/>
          <w:b/>
          <w:sz w:val="24"/>
          <w:szCs w:val="24"/>
        </w:rPr>
      </w:pPr>
    </w:p>
    <w:p w:rsidR="00216F23" w:rsidRDefault="00216F23" w:rsidP="0003505B">
      <w:pPr>
        <w:pStyle w:val="NoSpacing"/>
        <w:ind w:left="720"/>
        <w:rPr>
          <w:rFonts w:ascii="Arial Black" w:hAnsi="Arial Black"/>
          <w:b/>
          <w:sz w:val="24"/>
          <w:szCs w:val="24"/>
        </w:rPr>
      </w:pPr>
    </w:p>
    <w:p w:rsidR="00216F23" w:rsidRDefault="00216F23" w:rsidP="0003505B">
      <w:pPr>
        <w:pStyle w:val="NoSpacing"/>
        <w:ind w:left="720"/>
        <w:rPr>
          <w:rFonts w:ascii="Arial Black" w:hAnsi="Arial Black"/>
          <w:b/>
          <w:sz w:val="24"/>
          <w:szCs w:val="24"/>
        </w:rPr>
      </w:pPr>
    </w:p>
    <w:p w:rsidR="00216F23" w:rsidRDefault="00216F23" w:rsidP="0003505B">
      <w:pPr>
        <w:pStyle w:val="NoSpacing"/>
        <w:ind w:left="720"/>
        <w:rPr>
          <w:rFonts w:ascii="Arial Black" w:hAnsi="Arial Black"/>
          <w:b/>
          <w:sz w:val="24"/>
          <w:szCs w:val="24"/>
        </w:rPr>
      </w:pPr>
    </w:p>
    <w:p w:rsidR="001D6937" w:rsidRDefault="001D6937" w:rsidP="002C434F">
      <w:pPr>
        <w:pStyle w:val="NoSpacing"/>
        <w:rPr>
          <w:rFonts w:ascii="Arial Black" w:hAnsi="Arial Black"/>
          <w:b/>
          <w:sz w:val="24"/>
          <w:szCs w:val="24"/>
          <w:u w:val="single"/>
        </w:rPr>
      </w:pPr>
    </w:p>
    <w:p w:rsidR="0003505B" w:rsidRDefault="00BD038B" w:rsidP="002C434F">
      <w:pPr>
        <w:pStyle w:val="NoSpacing"/>
        <w:rPr>
          <w:rFonts w:ascii="Arial Black" w:hAnsi="Arial Black"/>
          <w:b/>
          <w:sz w:val="24"/>
          <w:szCs w:val="24"/>
          <w:u w:val="single"/>
        </w:rPr>
      </w:pPr>
      <w:r>
        <w:rPr>
          <w:rFonts w:ascii="Arial Black" w:hAnsi="Arial Black"/>
          <w:b/>
          <w:sz w:val="24"/>
          <w:szCs w:val="24"/>
          <w:u w:val="single"/>
        </w:rPr>
        <w:lastRenderedPageBreak/>
        <w:t xml:space="preserve">IV. </w:t>
      </w:r>
      <w:r w:rsidR="0003505B">
        <w:rPr>
          <w:rFonts w:ascii="Arial Black" w:hAnsi="Arial Black"/>
          <w:b/>
          <w:sz w:val="24"/>
          <w:szCs w:val="24"/>
          <w:u w:val="single"/>
        </w:rPr>
        <w:t>Liquidity risk</w:t>
      </w:r>
    </w:p>
    <w:p w:rsidR="0003505B" w:rsidRDefault="0003505B" w:rsidP="0003505B">
      <w:pPr>
        <w:pStyle w:val="NoSpacing"/>
        <w:ind w:left="720"/>
        <w:rPr>
          <w:rFonts w:ascii="Arial Black" w:hAnsi="Arial Black"/>
          <w:b/>
          <w:sz w:val="24"/>
          <w:szCs w:val="24"/>
          <w:u w:val="single"/>
        </w:rPr>
      </w:pPr>
    </w:p>
    <w:p w:rsidR="0003505B" w:rsidRDefault="0003505B" w:rsidP="002C434F">
      <w:pPr>
        <w:pStyle w:val="NoSpacing"/>
        <w:ind w:left="720"/>
        <w:rPr>
          <w:rFonts w:ascii="Arial Black" w:hAnsi="Arial Black"/>
          <w:b/>
          <w:sz w:val="24"/>
          <w:szCs w:val="24"/>
        </w:rPr>
      </w:pPr>
      <w:r w:rsidRPr="0003505B">
        <w:rPr>
          <w:rFonts w:ascii="Arial Black" w:hAnsi="Arial Black"/>
          <w:b/>
          <w:sz w:val="24"/>
          <w:szCs w:val="24"/>
        </w:rPr>
        <w:t xml:space="preserve">Liquidity risk is the risk that the </w:t>
      </w:r>
      <w:r w:rsidR="002C434F">
        <w:rPr>
          <w:rFonts w:ascii="Arial Black" w:hAnsi="Arial Black"/>
          <w:b/>
          <w:sz w:val="24"/>
          <w:szCs w:val="24"/>
        </w:rPr>
        <w:t>b</w:t>
      </w:r>
      <w:r w:rsidRPr="0003505B">
        <w:rPr>
          <w:rFonts w:ascii="Arial Black" w:hAnsi="Arial Black"/>
          <w:b/>
          <w:sz w:val="24"/>
          <w:szCs w:val="24"/>
        </w:rPr>
        <w:t xml:space="preserve">ranch will encounter difficulty in meeting obligations associated with its financial liabilities that are settled by delivering cash or another financial asset. Liquidity risk arises in the general funding of the </w:t>
      </w:r>
      <w:r w:rsidR="002C434F">
        <w:rPr>
          <w:rFonts w:ascii="Arial Black" w:hAnsi="Arial Black"/>
          <w:b/>
          <w:sz w:val="24"/>
          <w:szCs w:val="24"/>
        </w:rPr>
        <w:t>b</w:t>
      </w:r>
      <w:r w:rsidRPr="0003505B">
        <w:rPr>
          <w:rFonts w:ascii="Arial Black" w:hAnsi="Arial Black"/>
          <w:b/>
          <w:sz w:val="24"/>
          <w:szCs w:val="24"/>
        </w:rPr>
        <w:t xml:space="preserve">ranch’s activities and in the management of positions. It includes both the risk of being unable to fund assets at appropriate maturities and rates and the risk of being unable to liquidate an asset at a reasonable price and in an appropriate time frame. The </w:t>
      </w:r>
      <w:r w:rsidR="002C434F">
        <w:rPr>
          <w:rFonts w:ascii="Arial Black" w:hAnsi="Arial Black"/>
          <w:b/>
          <w:sz w:val="24"/>
          <w:szCs w:val="24"/>
        </w:rPr>
        <w:t>b</w:t>
      </w:r>
      <w:r w:rsidRPr="0003505B">
        <w:rPr>
          <w:rFonts w:ascii="Arial Black" w:hAnsi="Arial Black"/>
          <w:b/>
          <w:sz w:val="24"/>
          <w:szCs w:val="24"/>
        </w:rPr>
        <w:t xml:space="preserve">ranch has access to Head Office funding and strives to maintain a balance between continuity of funding and flexibility through the use of liabilities with a range of maturities. The </w:t>
      </w:r>
      <w:r w:rsidR="002C434F">
        <w:rPr>
          <w:rFonts w:ascii="Arial Black" w:hAnsi="Arial Black"/>
          <w:b/>
          <w:sz w:val="24"/>
          <w:szCs w:val="24"/>
        </w:rPr>
        <w:t>b</w:t>
      </w:r>
      <w:r w:rsidRPr="0003505B">
        <w:rPr>
          <w:rFonts w:ascii="Arial Black" w:hAnsi="Arial Black"/>
          <w:b/>
          <w:sz w:val="24"/>
          <w:szCs w:val="24"/>
        </w:rPr>
        <w:t xml:space="preserve">ranch continually assesses liquidity risk by identifying and monitoring changes in funding required </w:t>
      </w:r>
      <w:proofErr w:type="gramStart"/>
      <w:r w:rsidRPr="0003505B">
        <w:rPr>
          <w:rFonts w:ascii="Arial Black" w:hAnsi="Arial Black"/>
          <w:b/>
          <w:sz w:val="24"/>
          <w:szCs w:val="24"/>
        </w:rPr>
        <w:t>to meet</w:t>
      </w:r>
      <w:proofErr w:type="gramEnd"/>
      <w:r w:rsidRPr="0003505B">
        <w:rPr>
          <w:rFonts w:ascii="Arial Black" w:hAnsi="Arial Black"/>
          <w:b/>
          <w:sz w:val="24"/>
          <w:szCs w:val="24"/>
        </w:rPr>
        <w:t xml:space="preserve"> business goals and targets set in terms of the overall </w:t>
      </w:r>
      <w:r w:rsidR="002C434F">
        <w:rPr>
          <w:rFonts w:ascii="Arial Black" w:hAnsi="Arial Black"/>
          <w:b/>
          <w:sz w:val="24"/>
          <w:szCs w:val="24"/>
        </w:rPr>
        <w:t>b</w:t>
      </w:r>
      <w:r w:rsidRPr="0003505B">
        <w:rPr>
          <w:rFonts w:ascii="Arial Black" w:hAnsi="Arial Black"/>
          <w:b/>
          <w:sz w:val="24"/>
          <w:szCs w:val="24"/>
        </w:rPr>
        <w:t xml:space="preserve">ranch strategy. In addition, the </w:t>
      </w:r>
      <w:r w:rsidR="002C434F">
        <w:rPr>
          <w:rFonts w:ascii="Arial Black" w:hAnsi="Arial Black"/>
          <w:b/>
          <w:sz w:val="24"/>
          <w:szCs w:val="24"/>
        </w:rPr>
        <w:t>b</w:t>
      </w:r>
      <w:r w:rsidRPr="0003505B">
        <w:rPr>
          <w:rFonts w:ascii="Arial Black" w:hAnsi="Arial Black"/>
          <w:b/>
          <w:sz w:val="24"/>
          <w:szCs w:val="24"/>
        </w:rPr>
        <w:t>ranch holds a portfolio of liquid assets as part of its liquidity risk management strategy.</w:t>
      </w:r>
    </w:p>
    <w:p w:rsidR="00721EFC" w:rsidRDefault="00721EFC" w:rsidP="002C434F">
      <w:pPr>
        <w:pStyle w:val="NoSpacing"/>
        <w:ind w:left="720"/>
        <w:rPr>
          <w:rFonts w:ascii="Arial Black" w:hAnsi="Arial Black"/>
          <w:b/>
          <w:sz w:val="24"/>
          <w:szCs w:val="24"/>
        </w:rPr>
      </w:pPr>
    </w:p>
    <w:p w:rsidR="00721EFC" w:rsidRDefault="00721EFC" w:rsidP="002C434F">
      <w:pPr>
        <w:pStyle w:val="NoSpacing"/>
        <w:ind w:left="720"/>
        <w:rPr>
          <w:rFonts w:ascii="Arial Black" w:hAnsi="Arial Black"/>
          <w:b/>
          <w:sz w:val="24"/>
          <w:szCs w:val="24"/>
        </w:rPr>
      </w:pPr>
      <w:r>
        <w:rPr>
          <w:rFonts w:ascii="Arial Black" w:hAnsi="Arial Black"/>
          <w:b/>
          <w:sz w:val="24"/>
          <w:szCs w:val="24"/>
        </w:rPr>
        <w:t>The table below illustrates the liquidity coverage ratio (LCR) which requires all banks to hold sufficient high quality</w:t>
      </w:r>
      <w:r w:rsidR="000F0BDA">
        <w:rPr>
          <w:rFonts w:ascii="Arial Black" w:hAnsi="Arial Black"/>
          <w:b/>
          <w:sz w:val="24"/>
          <w:szCs w:val="24"/>
        </w:rPr>
        <w:t xml:space="preserve"> unencumbered</w:t>
      </w:r>
      <w:r>
        <w:rPr>
          <w:rFonts w:ascii="Arial Black" w:hAnsi="Arial Black"/>
          <w:b/>
          <w:sz w:val="24"/>
          <w:szCs w:val="24"/>
        </w:rPr>
        <w:t xml:space="preserve"> liquid assets to cover any potential cash outflow under a stressed scenario over a 30 day period. The introduction of the LCR is being phased in from January 2015 with a</w:t>
      </w:r>
      <w:r w:rsidR="00DA1B73">
        <w:rPr>
          <w:rFonts w:ascii="Arial Black" w:hAnsi="Arial Black"/>
          <w:b/>
          <w:sz w:val="24"/>
          <w:szCs w:val="24"/>
        </w:rPr>
        <w:t xml:space="preserve"> regulatory</w:t>
      </w:r>
      <w:r>
        <w:rPr>
          <w:rFonts w:ascii="Arial Black" w:hAnsi="Arial Black"/>
          <w:b/>
          <w:sz w:val="24"/>
          <w:szCs w:val="24"/>
        </w:rPr>
        <w:t xml:space="preserve"> minimum 60% ratio, increasing by 10% annually to </w:t>
      </w:r>
      <w:r w:rsidR="000F0BDA">
        <w:rPr>
          <w:rFonts w:ascii="Arial Black" w:hAnsi="Arial Black"/>
          <w:b/>
          <w:sz w:val="24"/>
          <w:szCs w:val="24"/>
        </w:rPr>
        <w:t>full implementation</w:t>
      </w:r>
      <w:r>
        <w:rPr>
          <w:rFonts w:ascii="Arial Black" w:hAnsi="Arial Black"/>
          <w:b/>
          <w:sz w:val="24"/>
          <w:szCs w:val="24"/>
        </w:rPr>
        <w:t xml:space="preserve"> in</w:t>
      </w:r>
      <w:r w:rsidR="000F0BDA">
        <w:rPr>
          <w:rFonts w:ascii="Arial Black" w:hAnsi="Arial Black"/>
          <w:b/>
          <w:sz w:val="24"/>
          <w:szCs w:val="24"/>
        </w:rPr>
        <w:t xml:space="preserve"> January</w:t>
      </w:r>
      <w:r>
        <w:rPr>
          <w:rFonts w:ascii="Arial Black" w:hAnsi="Arial Black"/>
          <w:b/>
          <w:sz w:val="24"/>
          <w:szCs w:val="24"/>
        </w:rPr>
        <w:t xml:space="preserve"> 2019.</w:t>
      </w:r>
    </w:p>
    <w:p w:rsidR="001D6937" w:rsidRDefault="001D6937" w:rsidP="002C434F">
      <w:pPr>
        <w:pStyle w:val="NoSpacing"/>
        <w:ind w:left="720"/>
        <w:rPr>
          <w:rFonts w:ascii="Arial Black" w:hAnsi="Arial Black"/>
          <w:b/>
          <w:sz w:val="24"/>
          <w:szCs w:val="24"/>
        </w:rPr>
      </w:pPr>
    </w:p>
    <w:p w:rsidR="00DA1B73" w:rsidRDefault="00DA1B73" w:rsidP="002C434F">
      <w:pPr>
        <w:pStyle w:val="NoSpacing"/>
        <w:ind w:left="720"/>
        <w:rPr>
          <w:rFonts w:ascii="Arial Black" w:hAnsi="Arial Black"/>
          <w:b/>
          <w:sz w:val="24"/>
          <w:szCs w:val="24"/>
        </w:rPr>
      </w:pPr>
    </w:p>
    <w:tbl>
      <w:tblPr>
        <w:tblStyle w:val="TableGrid"/>
        <w:tblW w:w="0" w:type="auto"/>
        <w:tblInd w:w="720" w:type="dxa"/>
        <w:tblLook w:val="04A0" w:firstRow="1" w:lastRow="0" w:firstColumn="1" w:lastColumn="0" w:noHBand="0" w:noVBand="1"/>
      </w:tblPr>
      <w:tblGrid>
        <w:gridCol w:w="4244"/>
        <w:gridCol w:w="4278"/>
      </w:tblGrid>
      <w:tr w:rsidR="00DA1B73" w:rsidTr="00DA1B73">
        <w:tc>
          <w:tcPr>
            <w:tcW w:w="4621" w:type="dxa"/>
            <w:shd w:val="clear" w:color="auto" w:fill="C6D9F1" w:themeFill="text2" w:themeFillTint="33"/>
          </w:tcPr>
          <w:p w:rsidR="00DA1B73" w:rsidRDefault="00DA1B73" w:rsidP="00DA1B73">
            <w:pPr>
              <w:pStyle w:val="NoSpacing"/>
              <w:rPr>
                <w:rFonts w:ascii="Arial Black" w:hAnsi="Arial Black"/>
                <w:b/>
                <w:sz w:val="24"/>
                <w:szCs w:val="24"/>
              </w:rPr>
            </w:pPr>
            <w:r w:rsidRPr="00DA1B73">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31 Dec 2014  </w:t>
            </w:r>
          </w:p>
        </w:tc>
        <w:tc>
          <w:tcPr>
            <w:tcW w:w="4621" w:type="dxa"/>
            <w:shd w:val="clear" w:color="auto" w:fill="C6D9F1" w:themeFill="text2" w:themeFillTint="33"/>
          </w:tcPr>
          <w:p w:rsidR="00DA1B73" w:rsidRDefault="00DA1B73" w:rsidP="002C434F">
            <w:pPr>
              <w:pStyle w:val="NoSpacing"/>
              <w:rPr>
                <w:rFonts w:ascii="Arial Black" w:hAnsi="Arial Black"/>
                <w:b/>
                <w:sz w:val="24"/>
                <w:szCs w:val="24"/>
              </w:rPr>
            </w:pPr>
            <w:r>
              <w:rPr>
                <w:rFonts w:ascii="Arial Black" w:hAnsi="Arial Black"/>
                <w:b/>
                <w:sz w:val="24"/>
                <w:szCs w:val="24"/>
              </w:rPr>
              <w:t>Percentage</w:t>
            </w:r>
          </w:p>
        </w:tc>
      </w:tr>
      <w:tr w:rsidR="00DA1B73" w:rsidTr="00DA1B73">
        <w:tc>
          <w:tcPr>
            <w:tcW w:w="4621" w:type="dxa"/>
          </w:tcPr>
          <w:p w:rsidR="00DA1B73" w:rsidRDefault="008822BB" w:rsidP="002C434F">
            <w:pPr>
              <w:pStyle w:val="NoSpacing"/>
              <w:rPr>
                <w:rFonts w:ascii="Arial Black" w:hAnsi="Arial Black"/>
                <w:b/>
                <w:sz w:val="24"/>
                <w:szCs w:val="24"/>
              </w:rPr>
            </w:pPr>
            <w:r>
              <w:rPr>
                <w:rFonts w:ascii="Arial Black" w:hAnsi="Arial Black"/>
                <w:b/>
                <w:sz w:val="24"/>
                <w:szCs w:val="24"/>
              </w:rPr>
              <w:t>Liquidity coverage ratio (LCR)</w:t>
            </w:r>
          </w:p>
        </w:tc>
        <w:tc>
          <w:tcPr>
            <w:tcW w:w="4621" w:type="dxa"/>
          </w:tcPr>
          <w:p w:rsidR="00DA1B73" w:rsidRDefault="00CB2A89" w:rsidP="002C434F">
            <w:pPr>
              <w:pStyle w:val="NoSpacing"/>
              <w:rPr>
                <w:rFonts w:ascii="Arial Black" w:hAnsi="Arial Black"/>
                <w:b/>
                <w:sz w:val="24"/>
                <w:szCs w:val="24"/>
              </w:rPr>
            </w:pPr>
            <w:r>
              <w:rPr>
                <w:rFonts w:ascii="Arial Black" w:hAnsi="Arial Black"/>
                <w:b/>
                <w:sz w:val="24"/>
                <w:szCs w:val="24"/>
              </w:rPr>
              <w:t>127%</w:t>
            </w:r>
          </w:p>
        </w:tc>
      </w:tr>
    </w:tbl>
    <w:p w:rsidR="00DA1B73" w:rsidRDefault="00DA1B73" w:rsidP="002C434F">
      <w:pPr>
        <w:pStyle w:val="NoSpacing"/>
        <w:ind w:left="720"/>
        <w:rPr>
          <w:rFonts w:ascii="Arial Black" w:hAnsi="Arial Black"/>
          <w:b/>
          <w:sz w:val="24"/>
          <w:szCs w:val="24"/>
        </w:rPr>
      </w:pPr>
    </w:p>
    <w:p w:rsidR="002C434F" w:rsidRDefault="002C434F" w:rsidP="0003505B">
      <w:pPr>
        <w:pStyle w:val="NoSpacing"/>
        <w:rPr>
          <w:rFonts w:ascii="Arial Black" w:hAnsi="Arial Black"/>
          <w:b/>
          <w:sz w:val="24"/>
          <w:szCs w:val="24"/>
        </w:rPr>
      </w:pPr>
    </w:p>
    <w:p w:rsidR="002C434F" w:rsidRDefault="00BD038B" w:rsidP="0003505B">
      <w:pPr>
        <w:pStyle w:val="NoSpacing"/>
        <w:rPr>
          <w:rFonts w:ascii="Arial Black" w:hAnsi="Arial Black"/>
          <w:b/>
          <w:sz w:val="24"/>
          <w:szCs w:val="24"/>
          <w:u w:val="single"/>
        </w:rPr>
      </w:pPr>
      <w:r>
        <w:rPr>
          <w:rFonts w:ascii="Arial Black" w:hAnsi="Arial Black"/>
          <w:b/>
          <w:sz w:val="24"/>
          <w:szCs w:val="24"/>
          <w:u w:val="single"/>
        </w:rPr>
        <w:t xml:space="preserve">V. </w:t>
      </w:r>
      <w:r w:rsidR="002C434F">
        <w:rPr>
          <w:rFonts w:ascii="Arial Black" w:hAnsi="Arial Black"/>
          <w:b/>
          <w:sz w:val="24"/>
          <w:szCs w:val="24"/>
          <w:u w:val="single"/>
        </w:rPr>
        <w:t>Operational risk</w:t>
      </w:r>
    </w:p>
    <w:p w:rsidR="002C434F" w:rsidRDefault="002C434F" w:rsidP="0003505B">
      <w:pPr>
        <w:pStyle w:val="NoSpacing"/>
        <w:rPr>
          <w:rFonts w:ascii="Arial Black" w:hAnsi="Arial Black"/>
          <w:b/>
          <w:sz w:val="24"/>
          <w:szCs w:val="24"/>
          <w:u w:val="single"/>
        </w:rPr>
      </w:pPr>
    </w:p>
    <w:p w:rsidR="002C434F" w:rsidRPr="002C434F" w:rsidRDefault="002C434F" w:rsidP="002C434F">
      <w:pPr>
        <w:pStyle w:val="NoSpacing"/>
        <w:ind w:left="360"/>
        <w:rPr>
          <w:rFonts w:ascii="Arial Black" w:hAnsi="Arial Black"/>
          <w:b/>
          <w:sz w:val="24"/>
          <w:szCs w:val="24"/>
        </w:rPr>
      </w:pPr>
      <w:r w:rsidRPr="002C434F">
        <w:rPr>
          <w:rFonts w:ascii="Arial Black" w:hAnsi="Arial Black"/>
          <w:b/>
          <w:sz w:val="24"/>
          <w:szCs w:val="24"/>
        </w:rPr>
        <w:t xml:space="preserve">Operational risk is the risk of loss resulting from inadequate or failed internal processes, people or systems, or from external events.  It includes the reputation and franchise risk associated with business practices or market conduct that the </w:t>
      </w:r>
      <w:r>
        <w:rPr>
          <w:rFonts w:ascii="Arial Black" w:hAnsi="Arial Black"/>
          <w:b/>
          <w:sz w:val="24"/>
          <w:szCs w:val="24"/>
        </w:rPr>
        <w:t>b</w:t>
      </w:r>
      <w:r w:rsidRPr="002C434F">
        <w:rPr>
          <w:rFonts w:ascii="Arial Black" w:hAnsi="Arial Black"/>
          <w:b/>
          <w:sz w:val="24"/>
          <w:szCs w:val="24"/>
        </w:rPr>
        <w:t xml:space="preserve">ranch undertakes. Operational risk is inherent in the </w:t>
      </w:r>
      <w:r>
        <w:rPr>
          <w:rFonts w:ascii="Arial Black" w:hAnsi="Arial Black"/>
          <w:b/>
          <w:sz w:val="24"/>
          <w:szCs w:val="24"/>
        </w:rPr>
        <w:t>b</w:t>
      </w:r>
      <w:r w:rsidRPr="002C434F">
        <w:rPr>
          <w:rFonts w:ascii="Arial Black" w:hAnsi="Arial Black"/>
          <w:b/>
          <w:sz w:val="24"/>
          <w:szCs w:val="24"/>
        </w:rPr>
        <w:t>ranch’s business activities and, as with other risk types, is managed through an overall framework with checks and balances that includes:</w:t>
      </w:r>
    </w:p>
    <w:p w:rsidR="002C434F" w:rsidRPr="002C434F" w:rsidRDefault="002C434F" w:rsidP="002C434F">
      <w:pPr>
        <w:pStyle w:val="NoSpacing"/>
        <w:rPr>
          <w:rFonts w:ascii="Arial Black" w:hAnsi="Arial Black"/>
          <w:b/>
          <w:sz w:val="24"/>
          <w:szCs w:val="24"/>
        </w:rPr>
      </w:pPr>
      <w:r w:rsidRPr="002C434F">
        <w:rPr>
          <w:rFonts w:ascii="Arial Black" w:hAnsi="Arial Black"/>
          <w:b/>
          <w:sz w:val="24"/>
          <w:szCs w:val="24"/>
        </w:rPr>
        <w:lastRenderedPageBreak/>
        <w:t> </w:t>
      </w:r>
    </w:p>
    <w:p w:rsidR="002C434F" w:rsidRPr="002C434F" w:rsidRDefault="002C434F" w:rsidP="002C434F">
      <w:pPr>
        <w:pStyle w:val="NoSpacing"/>
        <w:numPr>
          <w:ilvl w:val="0"/>
          <w:numId w:val="2"/>
        </w:numPr>
        <w:rPr>
          <w:rFonts w:ascii="Arial Black" w:hAnsi="Arial Black"/>
          <w:b/>
          <w:sz w:val="24"/>
          <w:szCs w:val="24"/>
        </w:rPr>
      </w:pPr>
      <w:r w:rsidRPr="002C434F">
        <w:rPr>
          <w:rFonts w:ascii="Arial Black" w:hAnsi="Arial Black"/>
          <w:b/>
          <w:sz w:val="24"/>
          <w:szCs w:val="24"/>
        </w:rPr>
        <w:t xml:space="preserve">Recognised ownership of the risk by the businesses; </w:t>
      </w:r>
    </w:p>
    <w:p w:rsidR="002C434F" w:rsidRPr="002C434F" w:rsidRDefault="002C434F" w:rsidP="002C434F">
      <w:pPr>
        <w:pStyle w:val="NoSpacing"/>
        <w:numPr>
          <w:ilvl w:val="0"/>
          <w:numId w:val="2"/>
        </w:numPr>
        <w:rPr>
          <w:rFonts w:ascii="Arial Black" w:hAnsi="Arial Black"/>
          <w:b/>
          <w:sz w:val="24"/>
          <w:szCs w:val="24"/>
        </w:rPr>
      </w:pPr>
      <w:r w:rsidRPr="002C434F">
        <w:rPr>
          <w:rFonts w:ascii="Arial Black" w:hAnsi="Arial Black"/>
          <w:b/>
          <w:sz w:val="24"/>
          <w:szCs w:val="24"/>
        </w:rPr>
        <w:t xml:space="preserve">Oversight by independent risk management; and </w:t>
      </w:r>
    </w:p>
    <w:p w:rsidR="002C434F" w:rsidRPr="002C434F" w:rsidRDefault="002C434F" w:rsidP="002C434F">
      <w:pPr>
        <w:pStyle w:val="NoSpacing"/>
        <w:numPr>
          <w:ilvl w:val="0"/>
          <w:numId w:val="2"/>
        </w:numPr>
        <w:rPr>
          <w:rFonts w:ascii="Arial Black" w:hAnsi="Arial Black"/>
          <w:b/>
          <w:sz w:val="24"/>
          <w:szCs w:val="24"/>
        </w:rPr>
      </w:pPr>
      <w:r w:rsidRPr="002C434F">
        <w:rPr>
          <w:rFonts w:ascii="Arial Black" w:hAnsi="Arial Black"/>
          <w:b/>
          <w:sz w:val="24"/>
          <w:szCs w:val="24"/>
        </w:rPr>
        <w:t>Independent review by internal audit.</w:t>
      </w:r>
    </w:p>
    <w:p w:rsidR="002C434F" w:rsidRPr="002C434F" w:rsidRDefault="002C434F" w:rsidP="002C434F">
      <w:pPr>
        <w:pStyle w:val="NoSpacing"/>
        <w:rPr>
          <w:rFonts w:ascii="Arial Black" w:hAnsi="Arial Black"/>
          <w:b/>
          <w:sz w:val="24"/>
          <w:szCs w:val="24"/>
        </w:rPr>
      </w:pPr>
      <w:r w:rsidRPr="002C434F">
        <w:rPr>
          <w:rFonts w:ascii="Arial Black" w:hAnsi="Arial Black"/>
          <w:b/>
          <w:sz w:val="24"/>
          <w:szCs w:val="24"/>
        </w:rPr>
        <w:t> </w:t>
      </w:r>
    </w:p>
    <w:p w:rsidR="002C434F" w:rsidRPr="002C434F" w:rsidRDefault="002C434F" w:rsidP="002C434F">
      <w:pPr>
        <w:pStyle w:val="NoSpacing"/>
        <w:ind w:left="360"/>
        <w:rPr>
          <w:rFonts w:ascii="Arial Black" w:hAnsi="Arial Black"/>
          <w:b/>
          <w:bCs/>
          <w:sz w:val="24"/>
          <w:szCs w:val="24"/>
        </w:rPr>
      </w:pPr>
      <w:r w:rsidRPr="002C434F">
        <w:rPr>
          <w:rFonts w:ascii="Arial Black" w:hAnsi="Arial Black"/>
          <w:b/>
          <w:bCs/>
          <w:sz w:val="24"/>
          <w:szCs w:val="24"/>
        </w:rPr>
        <w:t xml:space="preserve">Framework </w:t>
      </w:r>
    </w:p>
    <w:p w:rsidR="002C434F" w:rsidRPr="002C434F" w:rsidRDefault="002C434F" w:rsidP="002C434F">
      <w:pPr>
        <w:pStyle w:val="NoSpacing"/>
        <w:ind w:left="360"/>
        <w:rPr>
          <w:rFonts w:ascii="Arial Black" w:hAnsi="Arial Black"/>
          <w:b/>
          <w:sz w:val="24"/>
          <w:szCs w:val="24"/>
        </w:rPr>
      </w:pPr>
      <w:r w:rsidRPr="002C434F">
        <w:rPr>
          <w:rFonts w:ascii="Arial Black" w:hAnsi="Arial Black"/>
          <w:b/>
          <w:sz w:val="24"/>
          <w:szCs w:val="24"/>
        </w:rPr>
        <w:t xml:space="preserve">The </w:t>
      </w:r>
      <w:r>
        <w:rPr>
          <w:rFonts w:ascii="Arial Black" w:hAnsi="Arial Black"/>
          <w:b/>
          <w:sz w:val="24"/>
          <w:szCs w:val="24"/>
        </w:rPr>
        <w:t>b</w:t>
      </w:r>
      <w:r w:rsidRPr="002C434F">
        <w:rPr>
          <w:rFonts w:ascii="Arial Black" w:hAnsi="Arial Black"/>
          <w:b/>
          <w:sz w:val="24"/>
          <w:szCs w:val="24"/>
        </w:rPr>
        <w:t>ranch follows the approach to operational risk, which is defined in the Manager Control and Assessment (MCA)</w:t>
      </w:r>
      <w:r>
        <w:rPr>
          <w:rFonts w:ascii="Arial Black" w:hAnsi="Arial Black"/>
          <w:b/>
          <w:sz w:val="24"/>
          <w:szCs w:val="24"/>
        </w:rPr>
        <w:t xml:space="preserve"> </w:t>
      </w:r>
      <w:r w:rsidR="00BD038B">
        <w:rPr>
          <w:rFonts w:ascii="Arial Black" w:hAnsi="Arial Black"/>
          <w:b/>
          <w:sz w:val="24"/>
          <w:szCs w:val="24"/>
        </w:rPr>
        <w:t xml:space="preserve">in terms of the </w:t>
      </w:r>
      <w:r w:rsidRPr="002C434F">
        <w:rPr>
          <w:rFonts w:ascii="Arial Black" w:hAnsi="Arial Black"/>
          <w:b/>
          <w:sz w:val="24"/>
          <w:szCs w:val="24"/>
        </w:rPr>
        <w:t xml:space="preserve">Operational Risk Policy.  The objective of the </w:t>
      </w:r>
      <w:r>
        <w:rPr>
          <w:rFonts w:ascii="Arial Black" w:hAnsi="Arial Black"/>
          <w:b/>
          <w:sz w:val="24"/>
          <w:szCs w:val="24"/>
        </w:rPr>
        <w:t>p</w:t>
      </w:r>
      <w:r w:rsidRPr="002C434F">
        <w:rPr>
          <w:rFonts w:ascii="Arial Black" w:hAnsi="Arial Black"/>
          <w:b/>
          <w:sz w:val="24"/>
          <w:szCs w:val="24"/>
        </w:rPr>
        <w:t>olicy is to establish a consistent, value-added framework for assessing and communicating operational risk and the overall effectiveness of the internal control environment across Citibank. The Operational Risk Policy facilitates the effective communication of operational risk.  Information about operational risk, historical losses and the control environment is reported and summarised for the Audit Committee, Senior Management and the Directors.</w:t>
      </w:r>
    </w:p>
    <w:p w:rsidR="002C434F" w:rsidRPr="002C434F" w:rsidRDefault="002C434F" w:rsidP="002C434F">
      <w:pPr>
        <w:pStyle w:val="NoSpacing"/>
        <w:rPr>
          <w:rFonts w:ascii="Arial Black" w:hAnsi="Arial Black"/>
          <w:b/>
          <w:sz w:val="24"/>
          <w:szCs w:val="24"/>
        </w:rPr>
      </w:pPr>
    </w:p>
    <w:p w:rsidR="002C434F" w:rsidRDefault="002C434F" w:rsidP="002C434F">
      <w:pPr>
        <w:pStyle w:val="NoSpacing"/>
        <w:ind w:left="360"/>
        <w:rPr>
          <w:rFonts w:ascii="Arial Black" w:hAnsi="Arial Black"/>
          <w:b/>
          <w:sz w:val="24"/>
          <w:szCs w:val="24"/>
        </w:rPr>
      </w:pPr>
      <w:r w:rsidRPr="002C434F">
        <w:rPr>
          <w:rFonts w:ascii="Arial Black" w:hAnsi="Arial Black"/>
          <w:b/>
          <w:sz w:val="24"/>
          <w:szCs w:val="24"/>
        </w:rPr>
        <w:t xml:space="preserve">The </w:t>
      </w:r>
      <w:r>
        <w:rPr>
          <w:rFonts w:ascii="Arial Black" w:hAnsi="Arial Black"/>
          <w:b/>
          <w:sz w:val="24"/>
          <w:szCs w:val="24"/>
        </w:rPr>
        <w:t>b</w:t>
      </w:r>
      <w:r w:rsidRPr="002C434F">
        <w:rPr>
          <w:rFonts w:ascii="Arial Black" w:hAnsi="Arial Black"/>
          <w:b/>
          <w:sz w:val="24"/>
          <w:szCs w:val="24"/>
        </w:rPr>
        <w:t>ranch currently adopts the standardised approach to operational risk.</w:t>
      </w:r>
      <w:r>
        <w:rPr>
          <w:rFonts w:ascii="Arial Black" w:hAnsi="Arial Black"/>
          <w:b/>
          <w:sz w:val="24"/>
          <w:szCs w:val="24"/>
        </w:rPr>
        <w:t xml:space="preserve"> Under this approach, the branch uses a pre-determined beta mapped to the gross operating income for the previous 3 years across each of the eight business lines.</w:t>
      </w:r>
    </w:p>
    <w:p w:rsidR="002C434F" w:rsidRDefault="002C434F" w:rsidP="002C434F">
      <w:pPr>
        <w:pStyle w:val="NoSpacing"/>
        <w:ind w:left="360"/>
        <w:rPr>
          <w:rFonts w:ascii="Arial Black" w:hAnsi="Arial Black"/>
          <w:b/>
          <w:sz w:val="24"/>
          <w:szCs w:val="24"/>
        </w:rPr>
      </w:pPr>
    </w:p>
    <w:p w:rsidR="002C434F" w:rsidRDefault="002C434F" w:rsidP="002C434F">
      <w:pPr>
        <w:pStyle w:val="NoSpacing"/>
        <w:ind w:left="360"/>
        <w:rPr>
          <w:rFonts w:ascii="Arial Black" w:hAnsi="Arial Black"/>
          <w:b/>
          <w:sz w:val="24"/>
          <w:szCs w:val="24"/>
        </w:rPr>
      </w:pPr>
      <w:r>
        <w:rPr>
          <w:rFonts w:ascii="Arial Black" w:hAnsi="Arial Black"/>
          <w:b/>
          <w:sz w:val="24"/>
          <w:szCs w:val="24"/>
        </w:rPr>
        <w:t>The table below illustrates the operational risk cap</w:t>
      </w:r>
      <w:r w:rsidR="00BD038B">
        <w:rPr>
          <w:rFonts w:ascii="Arial Black" w:hAnsi="Arial Black"/>
          <w:b/>
          <w:sz w:val="24"/>
          <w:szCs w:val="24"/>
        </w:rPr>
        <w:t>i</w:t>
      </w:r>
      <w:r>
        <w:rPr>
          <w:rFonts w:ascii="Arial Black" w:hAnsi="Arial Black"/>
          <w:b/>
          <w:sz w:val="24"/>
          <w:szCs w:val="24"/>
        </w:rPr>
        <w:t>tal requirement for the branch</w:t>
      </w:r>
      <w:r w:rsidR="001D6937">
        <w:rPr>
          <w:rFonts w:ascii="Arial Black" w:hAnsi="Arial Black"/>
          <w:b/>
          <w:sz w:val="24"/>
          <w:szCs w:val="24"/>
        </w:rPr>
        <w:t>:</w:t>
      </w:r>
    </w:p>
    <w:p w:rsidR="00BD038B" w:rsidRDefault="00BD038B" w:rsidP="002C434F">
      <w:pPr>
        <w:pStyle w:val="NoSpacing"/>
        <w:ind w:left="360"/>
        <w:rPr>
          <w:rFonts w:ascii="Arial Black" w:hAnsi="Arial Black"/>
          <w:b/>
          <w:sz w:val="24"/>
          <w:szCs w:val="24"/>
        </w:rPr>
      </w:pPr>
    </w:p>
    <w:p w:rsidR="002E06ED" w:rsidRDefault="002E06ED" w:rsidP="002C434F">
      <w:pPr>
        <w:pStyle w:val="NoSpacing"/>
        <w:ind w:left="360"/>
        <w:rPr>
          <w:rFonts w:ascii="Arial Black" w:hAnsi="Arial Black"/>
          <w:b/>
          <w:sz w:val="24"/>
          <w:szCs w:val="24"/>
        </w:rPr>
      </w:pPr>
    </w:p>
    <w:tbl>
      <w:tblPr>
        <w:tblStyle w:val="TableGrid"/>
        <w:tblW w:w="0" w:type="auto"/>
        <w:tblInd w:w="360" w:type="dxa"/>
        <w:tblLook w:val="04A0" w:firstRow="1" w:lastRow="0" w:firstColumn="1" w:lastColumn="0" w:noHBand="0" w:noVBand="1"/>
      </w:tblPr>
      <w:tblGrid>
        <w:gridCol w:w="6411"/>
        <w:gridCol w:w="2471"/>
      </w:tblGrid>
      <w:tr w:rsidR="00BD038B" w:rsidTr="001D38ED">
        <w:tc>
          <w:tcPr>
            <w:tcW w:w="6411" w:type="dxa"/>
            <w:shd w:val="clear" w:color="auto" w:fill="C6D9F1" w:themeFill="text2" w:themeFillTint="33"/>
          </w:tcPr>
          <w:p w:rsidR="00BD038B" w:rsidRDefault="00BD038B" w:rsidP="002C434F">
            <w:pPr>
              <w:pStyle w:val="NoSpacing"/>
              <w:rPr>
                <w:rFonts w:ascii="Arial Black" w:hAnsi="Arial Black"/>
                <w:b/>
                <w:sz w:val="24"/>
                <w:szCs w:val="24"/>
              </w:rPr>
            </w:pPr>
            <w:r w:rsidRPr="00651949">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31 Dec 2014 </w:t>
            </w:r>
            <w:r>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Pr>
                <w:rFonts w:ascii="Arial Black" w:hAnsi="Arial Black"/>
                <w:b/>
                <w:sz w:val="24"/>
                <w:szCs w:val="24"/>
              </w:rPr>
              <w:t>ZAR ‘000</w:t>
            </w:r>
          </w:p>
        </w:tc>
        <w:tc>
          <w:tcPr>
            <w:tcW w:w="2471" w:type="dxa"/>
            <w:shd w:val="clear" w:color="auto" w:fill="C6D9F1" w:themeFill="text2" w:themeFillTint="33"/>
          </w:tcPr>
          <w:p w:rsidR="00BD038B" w:rsidRDefault="00BD038B" w:rsidP="002C434F">
            <w:pPr>
              <w:pStyle w:val="NoSpacing"/>
              <w:rPr>
                <w:rFonts w:ascii="Arial Black" w:hAnsi="Arial Black"/>
                <w:b/>
                <w:sz w:val="24"/>
                <w:szCs w:val="24"/>
              </w:rPr>
            </w:pPr>
            <w:r>
              <w:rPr>
                <w:rFonts w:ascii="Arial Black" w:hAnsi="Arial Black"/>
                <w:b/>
                <w:sz w:val="24"/>
                <w:szCs w:val="24"/>
              </w:rPr>
              <w:t>Total</w:t>
            </w:r>
          </w:p>
        </w:tc>
      </w:tr>
      <w:tr w:rsidR="00BD038B" w:rsidTr="00BD038B">
        <w:tc>
          <w:tcPr>
            <w:tcW w:w="6411" w:type="dxa"/>
          </w:tcPr>
          <w:p w:rsidR="00BD038B" w:rsidRDefault="00BD038B" w:rsidP="002C434F">
            <w:pPr>
              <w:pStyle w:val="NoSpacing"/>
              <w:rPr>
                <w:rFonts w:ascii="Arial Black" w:hAnsi="Arial Black"/>
                <w:b/>
                <w:sz w:val="24"/>
                <w:szCs w:val="24"/>
              </w:rPr>
            </w:pPr>
            <w:r>
              <w:rPr>
                <w:rFonts w:ascii="Arial Black" w:hAnsi="Arial Black"/>
                <w:b/>
                <w:sz w:val="24"/>
                <w:szCs w:val="24"/>
              </w:rPr>
              <w:t>Risk weighted assets for operational risk</w:t>
            </w:r>
          </w:p>
        </w:tc>
        <w:tc>
          <w:tcPr>
            <w:tcW w:w="2471" w:type="dxa"/>
          </w:tcPr>
          <w:p w:rsidR="00BD038B" w:rsidRDefault="00CB2A89" w:rsidP="002C434F">
            <w:pPr>
              <w:pStyle w:val="NoSpacing"/>
              <w:rPr>
                <w:rFonts w:ascii="Arial Black" w:hAnsi="Arial Black"/>
                <w:b/>
                <w:sz w:val="24"/>
                <w:szCs w:val="24"/>
              </w:rPr>
            </w:pPr>
            <w:r w:rsidRPr="00CB2A89">
              <w:rPr>
                <w:rFonts w:ascii="Arial Black" w:hAnsi="Arial Black"/>
                <w:b/>
                <w:sz w:val="24"/>
                <w:szCs w:val="24"/>
              </w:rPr>
              <w:t>2 672 040</w:t>
            </w:r>
          </w:p>
        </w:tc>
      </w:tr>
    </w:tbl>
    <w:p w:rsidR="00BD038B" w:rsidRDefault="00BD038B" w:rsidP="002C434F">
      <w:pPr>
        <w:pStyle w:val="NoSpacing"/>
        <w:ind w:left="360"/>
        <w:rPr>
          <w:rFonts w:ascii="Arial Black" w:hAnsi="Arial Black"/>
          <w:b/>
          <w:sz w:val="24"/>
          <w:szCs w:val="24"/>
        </w:rPr>
      </w:pPr>
    </w:p>
    <w:p w:rsidR="002E06ED" w:rsidRPr="002C434F" w:rsidRDefault="002E06ED" w:rsidP="0003505B">
      <w:pPr>
        <w:pStyle w:val="NoSpacing"/>
        <w:rPr>
          <w:rFonts w:ascii="Arial Black" w:hAnsi="Arial Black"/>
          <w:b/>
          <w:sz w:val="24"/>
          <w:szCs w:val="24"/>
        </w:rPr>
      </w:pPr>
    </w:p>
    <w:p w:rsidR="002C434F" w:rsidRDefault="00BD038B" w:rsidP="00BD038B">
      <w:pPr>
        <w:pStyle w:val="NoSpacing"/>
        <w:numPr>
          <w:ilvl w:val="0"/>
          <w:numId w:val="3"/>
        </w:numPr>
        <w:rPr>
          <w:rFonts w:ascii="Arial Black" w:hAnsi="Arial Black"/>
          <w:b/>
          <w:sz w:val="24"/>
          <w:szCs w:val="24"/>
          <w:u w:val="single"/>
        </w:rPr>
      </w:pPr>
      <w:r>
        <w:rPr>
          <w:rFonts w:ascii="Arial Black" w:hAnsi="Arial Black"/>
          <w:b/>
          <w:sz w:val="24"/>
          <w:szCs w:val="24"/>
          <w:u w:val="single"/>
        </w:rPr>
        <w:t>Remuneration policy</w:t>
      </w:r>
    </w:p>
    <w:p w:rsidR="00BD038B" w:rsidRDefault="00BD038B" w:rsidP="00BD038B">
      <w:pPr>
        <w:pStyle w:val="NoSpacing"/>
        <w:rPr>
          <w:rFonts w:ascii="Arial Black" w:hAnsi="Arial Black"/>
          <w:b/>
          <w:sz w:val="24"/>
          <w:szCs w:val="24"/>
          <w:u w:val="single"/>
        </w:rPr>
      </w:pPr>
    </w:p>
    <w:p w:rsidR="00BD038B" w:rsidRDefault="002E06ED" w:rsidP="00F7397A">
      <w:pPr>
        <w:pStyle w:val="NoSpacing"/>
        <w:ind w:left="720"/>
        <w:rPr>
          <w:rFonts w:ascii="Arial Black" w:hAnsi="Arial Black"/>
          <w:b/>
          <w:sz w:val="24"/>
          <w:szCs w:val="24"/>
        </w:rPr>
      </w:pPr>
      <w:r w:rsidRPr="002E06ED">
        <w:rPr>
          <w:rFonts w:ascii="Arial Black" w:hAnsi="Arial Black"/>
          <w:b/>
          <w:sz w:val="24"/>
          <w:szCs w:val="24"/>
        </w:rPr>
        <w:t>Citi aims to implement a broadly consistent global philosophy and framework in relation</w:t>
      </w:r>
      <w:r>
        <w:rPr>
          <w:rFonts w:ascii="Arial Black" w:hAnsi="Arial Black"/>
          <w:b/>
          <w:sz w:val="24"/>
          <w:szCs w:val="24"/>
        </w:rPr>
        <w:t xml:space="preserve"> </w:t>
      </w:r>
      <w:r w:rsidRPr="002E06ED">
        <w:rPr>
          <w:rFonts w:ascii="Arial Black" w:hAnsi="Arial Black"/>
          <w:b/>
          <w:sz w:val="24"/>
          <w:szCs w:val="24"/>
        </w:rPr>
        <w:t>to its remuneration policies and practices.</w:t>
      </w:r>
    </w:p>
    <w:p w:rsidR="00CA4040" w:rsidRDefault="00CA4040" w:rsidP="00F7397A">
      <w:pPr>
        <w:pStyle w:val="NoSpacing"/>
        <w:ind w:left="720"/>
        <w:rPr>
          <w:rFonts w:ascii="Arial Black" w:hAnsi="Arial Black"/>
          <w:b/>
          <w:sz w:val="24"/>
          <w:szCs w:val="24"/>
        </w:rPr>
      </w:pPr>
    </w:p>
    <w:p w:rsidR="002E06ED" w:rsidRDefault="002E06ED" w:rsidP="00F7397A">
      <w:pPr>
        <w:pStyle w:val="NoSpacing"/>
        <w:ind w:left="720"/>
        <w:rPr>
          <w:rFonts w:ascii="Arial Black" w:hAnsi="Arial Black"/>
          <w:b/>
          <w:sz w:val="24"/>
          <w:szCs w:val="24"/>
        </w:rPr>
      </w:pPr>
      <w:r w:rsidRPr="002E06ED">
        <w:rPr>
          <w:rFonts w:ascii="Arial Black" w:hAnsi="Arial Black"/>
          <w:b/>
          <w:sz w:val="24"/>
          <w:szCs w:val="24"/>
        </w:rPr>
        <w:t>Citi provides</w:t>
      </w:r>
      <w:r>
        <w:rPr>
          <w:rFonts w:ascii="Arial Black" w:hAnsi="Arial Black"/>
          <w:b/>
          <w:sz w:val="24"/>
          <w:szCs w:val="24"/>
        </w:rPr>
        <w:t xml:space="preserve"> </w:t>
      </w:r>
      <w:r w:rsidRPr="002E06ED">
        <w:rPr>
          <w:rFonts w:ascii="Arial Black" w:hAnsi="Arial Black"/>
          <w:b/>
          <w:sz w:val="24"/>
          <w:szCs w:val="24"/>
        </w:rPr>
        <w:t>discretionary incentive compensation to executive officers and other employees that</w:t>
      </w:r>
      <w:r>
        <w:rPr>
          <w:rFonts w:ascii="Arial Black" w:hAnsi="Arial Black"/>
          <w:b/>
          <w:sz w:val="24"/>
          <w:szCs w:val="24"/>
        </w:rPr>
        <w:t xml:space="preserve"> </w:t>
      </w:r>
      <w:r w:rsidRPr="002E06ED">
        <w:rPr>
          <w:rFonts w:ascii="Arial Black" w:hAnsi="Arial Black"/>
          <w:b/>
          <w:sz w:val="24"/>
          <w:szCs w:val="24"/>
        </w:rPr>
        <w:t>is variable, intending to differentiate compensation awards to reflect employees’</w:t>
      </w:r>
      <w:r>
        <w:rPr>
          <w:rFonts w:ascii="Arial Black" w:hAnsi="Arial Black"/>
          <w:b/>
          <w:sz w:val="24"/>
          <w:szCs w:val="24"/>
        </w:rPr>
        <w:t xml:space="preserve"> </w:t>
      </w:r>
      <w:r w:rsidRPr="002E06ED">
        <w:rPr>
          <w:rFonts w:ascii="Arial Black" w:hAnsi="Arial Black"/>
          <w:b/>
          <w:sz w:val="24"/>
          <w:szCs w:val="24"/>
        </w:rPr>
        <w:t>current contributions and Citi’s desire to retain talent, based on financial results as</w:t>
      </w:r>
      <w:r>
        <w:rPr>
          <w:rFonts w:ascii="Arial Black" w:hAnsi="Arial Black"/>
          <w:b/>
          <w:sz w:val="24"/>
          <w:szCs w:val="24"/>
        </w:rPr>
        <w:t xml:space="preserve"> </w:t>
      </w:r>
      <w:r w:rsidRPr="002E06ED">
        <w:rPr>
          <w:rFonts w:ascii="Arial Black" w:hAnsi="Arial Black"/>
          <w:b/>
          <w:sz w:val="24"/>
          <w:szCs w:val="24"/>
        </w:rPr>
        <w:t xml:space="preserve">well as non-financial </w:t>
      </w:r>
      <w:r w:rsidRPr="002E06ED">
        <w:rPr>
          <w:rFonts w:ascii="Arial Black" w:hAnsi="Arial Black"/>
          <w:b/>
          <w:sz w:val="24"/>
          <w:szCs w:val="24"/>
        </w:rPr>
        <w:lastRenderedPageBreak/>
        <w:t>performance such as risk and compliance behaviour. Citi has</w:t>
      </w:r>
      <w:r>
        <w:rPr>
          <w:rFonts w:ascii="Arial Black" w:hAnsi="Arial Black"/>
          <w:b/>
          <w:sz w:val="24"/>
          <w:szCs w:val="24"/>
        </w:rPr>
        <w:t xml:space="preserve"> </w:t>
      </w:r>
      <w:r w:rsidRPr="002E06ED">
        <w:rPr>
          <w:rFonts w:ascii="Arial Black" w:hAnsi="Arial Black"/>
          <w:b/>
          <w:sz w:val="24"/>
          <w:szCs w:val="24"/>
        </w:rPr>
        <w:t xml:space="preserve">communicated clearly </w:t>
      </w:r>
      <w:proofErr w:type="gramStart"/>
      <w:r w:rsidRPr="002E06ED">
        <w:rPr>
          <w:rFonts w:ascii="Arial Black" w:hAnsi="Arial Black"/>
          <w:b/>
          <w:sz w:val="24"/>
          <w:szCs w:val="24"/>
        </w:rPr>
        <w:t>to</w:t>
      </w:r>
      <w:proofErr w:type="gramEnd"/>
      <w:r w:rsidRPr="002E06ED">
        <w:rPr>
          <w:rFonts w:ascii="Arial Black" w:hAnsi="Arial Black"/>
          <w:b/>
          <w:sz w:val="24"/>
          <w:szCs w:val="24"/>
        </w:rPr>
        <w:t xml:space="preserve"> all employees that poor risk management practices and</w:t>
      </w:r>
      <w:r>
        <w:rPr>
          <w:rFonts w:ascii="Arial Black" w:hAnsi="Arial Black"/>
          <w:b/>
          <w:sz w:val="24"/>
          <w:szCs w:val="24"/>
        </w:rPr>
        <w:t xml:space="preserve"> </w:t>
      </w:r>
      <w:r w:rsidRPr="002E06ED">
        <w:rPr>
          <w:rFonts w:ascii="Arial Black" w:hAnsi="Arial Black"/>
          <w:b/>
          <w:sz w:val="24"/>
          <w:szCs w:val="24"/>
        </w:rPr>
        <w:t>imprudent risk-taking activity can and should lead to an adverse impact on</w:t>
      </w:r>
      <w:r>
        <w:rPr>
          <w:rFonts w:ascii="Arial Black" w:hAnsi="Arial Black"/>
          <w:b/>
          <w:sz w:val="24"/>
          <w:szCs w:val="24"/>
        </w:rPr>
        <w:t xml:space="preserve"> </w:t>
      </w:r>
      <w:r w:rsidRPr="002E06ED">
        <w:rPr>
          <w:rFonts w:ascii="Arial Black" w:hAnsi="Arial Black"/>
          <w:b/>
          <w:sz w:val="24"/>
          <w:szCs w:val="24"/>
        </w:rPr>
        <w:t>incentive</w:t>
      </w:r>
      <w:r>
        <w:rPr>
          <w:rFonts w:ascii="Arial Black" w:hAnsi="Arial Black"/>
          <w:b/>
          <w:sz w:val="24"/>
          <w:szCs w:val="24"/>
        </w:rPr>
        <w:t xml:space="preserve"> </w:t>
      </w:r>
      <w:r w:rsidRPr="002E06ED">
        <w:rPr>
          <w:rFonts w:ascii="Arial Black" w:hAnsi="Arial Black"/>
          <w:b/>
          <w:sz w:val="24"/>
          <w:szCs w:val="24"/>
        </w:rPr>
        <w:t>compensation, including the award of no incentive compensation.</w:t>
      </w:r>
    </w:p>
    <w:p w:rsidR="002E06ED" w:rsidRDefault="002E06ED" w:rsidP="002E06ED">
      <w:pPr>
        <w:pStyle w:val="NoSpacing"/>
        <w:rPr>
          <w:rFonts w:ascii="Arial Black" w:hAnsi="Arial Black"/>
          <w:b/>
          <w:sz w:val="24"/>
          <w:szCs w:val="24"/>
        </w:rPr>
      </w:pPr>
    </w:p>
    <w:p w:rsidR="002E06ED" w:rsidRDefault="002E06ED" w:rsidP="00F7397A">
      <w:pPr>
        <w:pStyle w:val="NoSpacing"/>
        <w:ind w:left="720"/>
        <w:rPr>
          <w:rFonts w:ascii="Arial Black" w:hAnsi="Arial Black"/>
          <w:b/>
          <w:sz w:val="24"/>
          <w:szCs w:val="24"/>
        </w:rPr>
      </w:pPr>
      <w:r w:rsidRPr="002E06ED">
        <w:rPr>
          <w:rFonts w:ascii="Arial Black" w:hAnsi="Arial Black"/>
          <w:b/>
          <w:sz w:val="24"/>
          <w:szCs w:val="24"/>
        </w:rPr>
        <w:t>The Personnel and Compensation Committee (P&amp;C Committee), of the Board of</w:t>
      </w:r>
      <w:r>
        <w:rPr>
          <w:rFonts w:ascii="Arial Black" w:hAnsi="Arial Black"/>
          <w:b/>
          <w:sz w:val="24"/>
          <w:szCs w:val="24"/>
        </w:rPr>
        <w:t xml:space="preserve"> </w:t>
      </w:r>
      <w:r w:rsidRPr="002E06ED">
        <w:rPr>
          <w:rFonts w:ascii="Arial Black" w:hAnsi="Arial Black"/>
          <w:b/>
          <w:sz w:val="24"/>
          <w:szCs w:val="24"/>
        </w:rPr>
        <w:t>Directors of Citigroup Inc., oversees Citi’s global remuneration policies and practices. It</w:t>
      </w:r>
      <w:r>
        <w:rPr>
          <w:rFonts w:ascii="Arial Black" w:hAnsi="Arial Black"/>
          <w:b/>
          <w:sz w:val="24"/>
          <w:szCs w:val="24"/>
        </w:rPr>
        <w:t xml:space="preserve"> </w:t>
      </w:r>
      <w:r w:rsidRPr="002E06ED">
        <w:rPr>
          <w:rFonts w:ascii="Arial Black" w:hAnsi="Arial Black"/>
          <w:b/>
          <w:sz w:val="24"/>
          <w:szCs w:val="24"/>
        </w:rPr>
        <w:t>annually reviews the compensation structures for members of senior management and</w:t>
      </w:r>
      <w:r w:rsidR="00F7397A">
        <w:rPr>
          <w:rFonts w:ascii="Arial Black" w:hAnsi="Arial Black"/>
          <w:b/>
          <w:sz w:val="24"/>
          <w:szCs w:val="24"/>
        </w:rPr>
        <w:t xml:space="preserve"> </w:t>
      </w:r>
      <w:r w:rsidRPr="002E06ED">
        <w:rPr>
          <w:rFonts w:ascii="Arial Black" w:hAnsi="Arial Black"/>
          <w:b/>
          <w:sz w:val="24"/>
          <w:szCs w:val="24"/>
        </w:rPr>
        <w:t>other highly compensated or regulated individuals. The P&amp;C Committee, with the</w:t>
      </w:r>
      <w:r>
        <w:rPr>
          <w:rFonts w:ascii="Arial Black" w:hAnsi="Arial Black"/>
          <w:b/>
          <w:sz w:val="24"/>
          <w:szCs w:val="24"/>
        </w:rPr>
        <w:t xml:space="preserve"> </w:t>
      </w:r>
      <w:r w:rsidRPr="002E06ED">
        <w:rPr>
          <w:rFonts w:ascii="Arial Black" w:hAnsi="Arial Black"/>
          <w:b/>
          <w:sz w:val="24"/>
          <w:szCs w:val="24"/>
        </w:rPr>
        <w:t>assistance of the Chief Risk Officer, also reviews the design and structure of</w:t>
      </w:r>
      <w:r>
        <w:rPr>
          <w:rFonts w:ascii="Arial Black" w:hAnsi="Arial Black"/>
          <w:b/>
          <w:sz w:val="24"/>
          <w:szCs w:val="24"/>
        </w:rPr>
        <w:t xml:space="preserve"> </w:t>
      </w:r>
      <w:r w:rsidRPr="002E06ED">
        <w:rPr>
          <w:rFonts w:ascii="Arial Black" w:hAnsi="Arial Black"/>
          <w:b/>
          <w:sz w:val="24"/>
          <w:szCs w:val="24"/>
        </w:rPr>
        <w:t>compensation programs relevant to all employees in the context of risk management.</w:t>
      </w:r>
    </w:p>
    <w:p w:rsidR="002E70E9" w:rsidRDefault="002E06ED" w:rsidP="002E70E9">
      <w:pPr>
        <w:pStyle w:val="NoSpacing"/>
        <w:ind w:left="720"/>
        <w:rPr>
          <w:rFonts w:ascii="Arial Black" w:hAnsi="Arial Black"/>
          <w:b/>
          <w:sz w:val="24"/>
          <w:szCs w:val="24"/>
        </w:rPr>
      </w:pPr>
      <w:r w:rsidRPr="002E06ED">
        <w:rPr>
          <w:rFonts w:ascii="Arial Black" w:hAnsi="Arial Black"/>
          <w:b/>
          <w:sz w:val="24"/>
          <w:szCs w:val="24"/>
        </w:rPr>
        <w:t xml:space="preserve">In 2010 Citi established the EMEA Remuneration committee ("EMEA </w:t>
      </w:r>
      <w:proofErr w:type="spellStart"/>
      <w:r w:rsidRPr="002E06ED">
        <w:rPr>
          <w:rFonts w:ascii="Arial Black" w:hAnsi="Arial Black"/>
          <w:b/>
          <w:sz w:val="24"/>
          <w:szCs w:val="24"/>
        </w:rPr>
        <w:t>RemCo</w:t>
      </w:r>
      <w:proofErr w:type="spellEnd"/>
      <w:r w:rsidRPr="002E06ED">
        <w:rPr>
          <w:rFonts w:ascii="Arial Black" w:hAnsi="Arial Black"/>
          <w:b/>
          <w:sz w:val="24"/>
          <w:szCs w:val="24"/>
        </w:rPr>
        <w:t>”), in</w:t>
      </w:r>
      <w:r>
        <w:rPr>
          <w:rFonts w:ascii="Arial Black" w:hAnsi="Arial Black"/>
          <w:b/>
          <w:sz w:val="24"/>
          <w:szCs w:val="24"/>
        </w:rPr>
        <w:t xml:space="preserve"> </w:t>
      </w:r>
      <w:r w:rsidRPr="002E06ED">
        <w:rPr>
          <w:rFonts w:ascii="Arial Black" w:hAnsi="Arial Black"/>
          <w:b/>
          <w:sz w:val="24"/>
          <w:szCs w:val="24"/>
        </w:rPr>
        <w:t>order to provide regional oversight on remuneration matters for the EMEA region. The</w:t>
      </w:r>
      <w:r>
        <w:rPr>
          <w:rFonts w:ascii="Arial Black" w:hAnsi="Arial Black"/>
          <w:b/>
          <w:sz w:val="24"/>
          <w:szCs w:val="24"/>
        </w:rPr>
        <w:t xml:space="preserve"> </w:t>
      </w:r>
      <w:r w:rsidRPr="002E06ED">
        <w:rPr>
          <w:rFonts w:ascii="Arial Black" w:hAnsi="Arial Black"/>
          <w:b/>
          <w:sz w:val="24"/>
          <w:szCs w:val="24"/>
        </w:rPr>
        <w:t xml:space="preserve">EMEA </w:t>
      </w:r>
      <w:proofErr w:type="spellStart"/>
      <w:r w:rsidRPr="002E06ED">
        <w:rPr>
          <w:rFonts w:ascii="Arial Black" w:hAnsi="Arial Black"/>
          <w:b/>
          <w:sz w:val="24"/>
          <w:szCs w:val="24"/>
        </w:rPr>
        <w:t>RemCo</w:t>
      </w:r>
      <w:proofErr w:type="spellEnd"/>
      <w:r w:rsidRPr="002E06ED">
        <w:rPr>
          <w:rFonts w:ascii="Arial Black" w:hAnsi="Arial Black"/>
          <w:b/>
          <w:sz w:val="24"/>
          <w:szCs w:val="24"/>
        </w:rPr>
        <w:t xml:space="preserve"> is a sub-committee of the EMEA Governance Committee. The P&amp;C</w:t>
      </w:r>
      <w:r>
        <w:rPr>
          <w:rFonts w:ascii="Arial Black" w:hAnsi="Arial Black"/>
          <w:b/>
          <w:sz w:val="24"/>
          <w:szCs w:val="24"/>
        </w:rPr>
        <w:t xml:space="preserve"> </w:t>
      </w:r>
      <w:r w:rsidRPr="002E06ED">
        <w:rPr>
          <w:rFonts w:ascii="Arial Black" w:hAnsi="Arial Black"/>
          <w:b/>
          <w:sz w:val="24"/>
          <w:szCs w:val="24"/>
        </w:rPr>
        <w:t>Committee retains ultimate oversight of Citi’s remuneration matters.</w:t>
      </w:r>
      <w:r w:rsidR="002E70E9">
        <w:rPr>
          <w:rFonts w:ascii="Arial Black" w:hAnsi="Arial Black"/>
          <w:b/>
          <w:sz w:val="24"/>
          <w:szCs w:val="24"/>
        </w:rPr>
        <w:t xml:space="preserve"> There are no senior management employees in the local branch which are considered material risk takers in relation to the group.</w:t>
      </w:r>
    </w:p>
    <w:p w:rsidR="002E06ED" w:rsidRDefault="002E06ED" w:rsidP="002E06ED">
      <w:pPr>
        <w:pStyle w:val="NoSpacing"/>
        <w:rPr>
          <w:rFonts w:ascii="Arial Black" w:hAnsi="Arial Black"/>
          <w:b/>
          <w:sz w:val="24"/>
          <w:szCs w:val="24"/>
        </w:rPr>
      </w:pPr>
    </w:p>
    <w:p w:rsidR="002E06ED" w:rsidRDefault="002E06ED" w:rsidP="00F7397A">
      <w:pPr>
        <w:pStyle w:val="NoSpacing"/>
        <w:ind w:left="720"/>
        <w:rPr>
          <w:rFonts w:ascii="Arial Black" w:hAnsi="Arial Black"/>
          <w:b/>
          <w:sz w:val="24"/>
          <w:szCs w:val="24"/>
        </w:rPr>
      </w:pPr>
      <w:r w:rsidRPr="002E06ED">
        <w:rPr>
          <w:rFonts w:ascii="Arial Black" w:hAnsi="Arial Black"/>
          <w:b/>
          <w:sz w:val="24"/>
          <w:szCs w:val="24"/>
        </w:rPr>
        <w:t>The Capital Accumulation Program (CAP) is the main programmes under which Citi may</w:t>
      </w:r>
      <w:r>
        <w:rPr>
          <w:rFonts w:ascii="Arial Black" w:hAnsi="Arial Black"/>
          <w:b/>
          <w:sz w:val="24"/>
          <w:szCs w:val="24"/>
        </w:rPr>
        <w:t xml:space="preserve"> </w:t>
      </w:r>
      <w:r w:rsidRPr="002E06ED">
        <w:rPr>
          <w:rFonts w:ascii="Arial Black" w:hAnsi="Arial Black"/>
          <w:b/>
          <w:sz w:val="24"/>
          <w:szCs w:val="24"/>
        </w:rPr>
        <w:t>make awards of deferred Citi stock to elected employees. Deferred stock awards are</w:t>
      </w:r>
      <w:r>
        <w:rPr>
          <w:rFonts w:ascii="Arial Black" w:hAnsi="Arial Black"/>
          <w:b/>
          <w:sz w:val="24"/>
          <w:szCs w:val="24"/>
        </w:rPr>
        <w:t xml:space="preserve"> </w:t>
      </w:r>
      <w:r w:rsidRPr="002E06ED">
        <w:rPr>
          <w:rFonts w:ascii="Arial Black" w:hAnsi="Arial Black"/>
          <w:b/>
          <w:sz w:val="24"/>
          <w:szCs w:val="24"/>
        </w:rPr>
        <w:t>subject to the terms of the CAP plan.</w:t>
      </w:r>
    </w:p>
    <w:p w:rsidR="002E06ED" w:rsidRDefault="002E06ED" w:rsidP="002E06ED">
      <w:pPr>
        <w:pStyle w:val="NoSpacing"/>
        <w:rPr>
          <w:rFonts w:ascii="Arial Black" w:hAnsi="Arial Black"/>
          <w:b/>
          <w:sz w:val="24"/>
          <w:szCs w:val="24"/>
        </w:rPr>
      </w:pPr>
    </w:p>
    <w:p w:rsidR="002E06ED" w:rsidRPr="002E06ED" w:rsidRDefault="002E06ED" w:rsidP="00F7397A">
      <w:pPr>
        <w:pStyle w:val="NoSpacing"/>
        <w:ind w:left="720"/>
        <w:rPr>
          <w:rFonts w:ascii="Arial Black" w:hAnsi="Arial Black"/>
          <w:b/>
          <w:sz w:val="24"/>
          <w:szCs w:val="24"/>
        </w:rPr>
      </w:pPr>
      <w:r w:rsidRPr="002E06ED">
        <w:rPr>
          <w:rFonts w:ascii="Arial Black" w:hAnsi="Arial Black"/>
          <w:b/>
          <w:sz w:val="24"/>
          <w:szCs w:val="24"/>
        </w:rPr>
        <w:t>One of Citi’s key compensation principles is to “promote meritocracy by recognising</w:t>
      </w:r>
      <w:r>
        <w:rPr>
          <w:rFonts w:ascii="Arial Black" w:hAnsi="Arial Black"/>
          <w:b/>
          <w:sz w:val="24"/>
          <w:szCs w:val="24"/>
        </w:rPr>
        <w:t xml:space="preserve"> </w:t>
      </w:r>
      <w:r w:rsidRPr="002E06ED">
        <w:rPr>
          <w:rFonts w:ascii="Arial Black" w:hAnsi="Arial Black"/>
          <w:b/>
          <w:sz w:val="24"/>
          <w:szCs w:val="24"/>
        </w:rPr>
        <w:t>employee contributions”.</w:t>
      </w:r>
    </w:p>
    <w:p w:rsidR="002E06ED" w:rsidRDefault="002E06ED" w:rsidP="00F7397A">
      <w:pPr>
        <w:pStyle w:val="NoSpacing"/>
        <w:ind w:left="720"/>
        <w:rPr>
          <w:rFonts w:ascii="Arial Black" w:hAnsi="Arial Black"/>
          <w:b/>
          <w:sz w:val="24"/>
          <w:szCs w:val="24"/>
        </w:rPr>
      </w:pPr>
      <w:r w:rsidRPr="002E06ED">
        <w:rPr>
          <w:rFonts w:ascii="Arial Black" w:hAnsi="Arial Black"/>
          <w:b/>
          <w:sz w:val="24"/>
          <w:szCs w:val="24"/>
        </w:rPr>
        <w:t>The performance assessment of all Identified Staff is based on individually tailored goals,</w:t>
      </w:r>
      <w:r>
        <w:rPr>
          <w:rFonts w:ascii="Arial Black" w:hAnsi="Arial Black"/>
          <w:b/>
          <w:sz w:val="24"/>
          <w:szCs w:val="24"/>
        </w:rPr>
        <w:t xml:space="preserve"> </w:t>
      </w:r>
      <w:r w:rsidRPr="002E06ED">
        <w:rPr>
          <w:rFonts w:ascii="Arial Black" w:hAnsi="Arial Black"/>
          <w:b/>
          <w:sz w:val="24"/>
          <w:szCs w:val="24"/>
        </w:rPr>
        <w:t>and an assessment against Citi’s Core Principles Statements:</w:t>
      </w:r>
    </w:p>
    <w:p w:rsidR="00F7397A" w:rsidRPr="002E06ED" w:rsidRDefault="00F7397A" w:rsidP="00F7397A">
      <w:pPr>
        <w:pStyle w:val="NoSpacing"/>
        <w:ind w:left="720"/>
        <w:rPr>
          <w:rFonts w:ascii="Arial Black" w:hAnsi="Arial Black"/>
          <w:b/>
          <w:sz w:val="24"/>
          <w:szCs w:val="24"/>
        </w:rPr>
      </w:pPr>
    </w:p>
    <w:p w:rsidR="002E06ED" w:rsidRDefault="002E06ED" w:rsidP="00F7397A">
      <w:pPr>
        <w:pStyle w:val="NoSpacing"/>
        <w:ind w:left="720"/>
        <w:rPr>
          <w:rFonts w:ascii="Arial Black" w:hAnsi="Arial Black"/>
          <w:b/>
          <w:sz w:val="24"/>
          <w:szCs w:val="24"/>
        </w:rPr>
      </w:pPr>
      <w:r w:rsidRPr="002E06ED">
        <w:rPr>
          <w:rFonts w:ascii="Arial Black" w:hAnsi="Arial Black"/>
          <w:b/>
          <w:sz w:val="24"/>
          <w:szCs w:val="24"/>
        </w:rPr>
        <w:t xml:space="preserve"> </w:t>
      </w:r>
      <w:r w:rsidRPr="00F7397A">
        <w:rPr>
          <w:rFonts w:ascii="Arial Black" w:hAnsi="Arial Black"/>
          <w:b/>
          <w:bCs/>
          <w:sz w:val="24"/>
          <w:szCs w:val="24"/>
          <w:u w:val="single"/>
        </w:rPr>
        <w:t>Common Purpose</w:t>
      </w:r>
      <w:r w:rsidRPr="002E06ED">
        <w:rPr>
          <w:rFonts w:ascii="Arial Black" w:hAnsi="Arial Black"/>
          <w:b/>
          <w:bCs/>
          <w:sz w:val="24"/>
          <w:szCs w:val="24"/>
        </w:rPr>
        <w:t xml:space="preserve">: </w:t>
      </w:r>
      <w:r w:rsidRPr="002E06ED">
        <w:rPr>
          <w:rFonts w:ascii="Arial Black" w:hAnsi="Arial Black"/>
          <w:b/>
          <w:sz w:val="24"/>
          <w:szCs w:val="24"/>
        </w:rPr>
        <w:t>One team, with one goal: serving our clients and stakeholders</w:t>
      </w:r>
    </w:p>
    <w:p w:rsidR="00F7397A" w:rsidRPr="002E06ED" w:rsidRDefault="00F7397A" w:rsidP="00F7397A">
      <w:pPr>
        <w:pStyle w:val="NoSpacing"/>
        <w:ind w:left="720"/>
        <w:rPr>
          <w:rFonts w:ascii="Arial Black" w:hAnsi="Arial Black"/>
          <w:b/>
          <w:sz w:val="24"/>
          <w:szCs w:val="24"/>
        </w:rPr>
      </w:pPr>
    </w:p>
    <w:p w:rsidR="002E06ED" w:rsidRPr="002E06ED" w:rsidRDefault="002E06ED" w:rsidP="00F7397A">
      <w:pPr>
        <w:pStyle w:val="NoSpacing"/>
        <w:ind w:left="720"/>
        <w:rPr>
          <w:rFonts w:ascii="Arial Black" w:hAnsi="Arial Black"/>
          <w:b/>
          <w:sz w:val="24"/>
          <w:szCs w:val="24"/>
        </w:rPr>
      </w:pPr>
      <w:r w:rsidRPr="002E06ED">
        <w:rPr>
          <w:rFonts w:ascii="Arial Black" w:hAnsi="Arial Black"/>
          <w:b/>
          <w:sz w:val="24"/>
          <w:szCs w:val="24"/>
        </w:rPr>
        <w:t xml:space="preserve"> </w:t>
      </w:r>
      <w:r w:rsidRPr="00F7397A">
        <w:rPr>
          <w:rFonts w:ascii="Arial Black" w:hAnsi="Arial Black"/>
          <w:b/>
          <w:bCs/>
          <w:sz w:val="24"/>
          <w:szCs w:val="24"/>
          <w:u w:val="single"/>
        </w:rPr>
        <w:t>Ingenuity</w:t>
      </w:r>
      <w:r w:rsidRPr="002E06ED">
        <w:rPr>
          <w:rFonts w:ascii="Arial Black" w:hAnsi="Arial Black"/>
          <w:b/>
          <w:bCs/>
          <w:sz w:val="24"/>
          <w:szCs w:val="24"/>
        </w:rPr>
        <w:t xml:space="preserve">: </w:t>
      </w:r>
      <w:r w:rsidRPr="002E06ED">
        <w:rPr>
          <w:rFonts w:ascii="Arial Black" w:hAnsi="Arial Black"/>
          <w:b/>
          <w:sz w:val="24"/>
          <w:szCs w:val="24"/>
        </w:rPr>
        <w:t>Enhancing our clients’ lives through innovation that harnesses the breadth</w:t>
      </w:r>
    </w:p>
    <w:p w:rsidR="00F7397A" w:rsidRDefault="002E06ED" w:rsidP="00F7397A">
      <w:pPr>
        <w:pStyle w:val="NoSpacing"/>
        <w:ind w:left="720"/>
        <w:rPr>
          <w:rFonts w:ascii="Arial Black" w:hAnsi="Arial Black"/>
          <w:b/>
          <w:sz w:val="24"/>
          <w:szCs w:val="24"/>
        </w:rPr>
      </w:pPr>
      <w:proofErr w:type="gramStart"/>
      <w:r w:rsidRPr="002E06ED">
        <w:rPr>
          <w:rFonts w:ascii="Arial Black" w:hAnsi="Arial Black"/>
          <w:b/>
          <w:sz w:val="24"/>
          <w:szCs w:val="24"/>
        </w:rPr>
        <w:lastRenderedPageBreak/>
        <w:t>and</w:t>
      </w:r>
      <w:proofErr w:type="gramEnd"/>
      <w:r w:rsidRPr="002E06ED">
        <w:rPr>
          <w:rFonts w:ascii="Arial Black" w:hAnsi="Arial Black"/>
          <w:b/>
          <w:sz w:val="24"/>
          <w:szCs w:val="24"/>
        </w:rPr>
        <w:t xml:space="preserve"> depth of our information, global network, and world-class products</w:t>
      </w:r>
    </w:p>
    <w:p w:rsidR="00F7397A" w:rsidRDefault="00F7397A" w:rsidP="00F7397A">
      <w:pPr>
        <w:pStyle w:val="NoSpacing"/>
        <w:ind w:left="720"/>
        <w:rPr>
          <w:rFonts w:ascii="Arial Black" w:hAnsi="Arial Black"/>
          <w:b/>
          <w:sz w:val="24"/>
          <w:szCs w:val="24"/>
        </w:rPr>
      </w:pPr>
    </w:p>
    <w:p w:rsidR="002E06ED" w:rsidRPr="002E06ED" w:rsidRDefault="002E06ED" w:rsidP="00F7397A">
      <w:pPr>
        <w:pStyle w:val="NoSpacing"/>
        <w:ind w:left="720"/>
        <w:rPr>
          <w:rFonts w:ascii="Arial Black" w:hAnsi="Arial Black"/>
          <w:b/>
          <w:sz w:val="24"/>
          <w:szCs w:val="24"/>
        </w:rPr>
      </w:pPr>
      <w:r w:rsidRPr="002E06ED">
        <w:rPr>
          <w:rFonts w:ascii="Arial Black" w:hAnsi="Arial Black"/>
          <w:b/>
          <w:sz w:val="24"/>
          <w:szCs w:val="24"/>
        </w:rPr>
        <w:t xml:space="preserve"> </w:t>
      </w:r>
      <w:r w:rsidRPr="00F7397A">
        <w:rPr>
          <w:rFonts w:ascii="Arial Black" w:hAnsi="Arial Black"/>
          <w:b/>
          <w:bCs/>
          <w:sz w:val="24"/>
          <w:szCs w:val="24"/>
          <w:u w:val="single"/>
        </w:rPr>
        <w:t>Leadership</w:t>
      </w:r>
      <w:r w:rsidRPr="002E06ED">
        <w:rPr>
          <w:rFonts w:ascii="Arial Black" w:hAnsi="Arial Black"/>
          <w:b/>
          <w:bCs/>
          <w:sz w:val="24"/>
          <w:szCs w:val="24"/>
        </w:rPr>
        <w:t xml:space="preserve">: </w:t>
      </w:r>
      <w:r w:rsidRPr="002E06ED">
        <w:rPr>
          <w:rFonts w:ascii="Arial Black" w:hAnsi="Arial Black"/>
          <w:b/>
          <w:sz w:val="24"/>
          <w:szCs w:val="24"/>
        </w:rPr>
        <w:t>Talented people with the best training who thrive in a diverse</w:t>
      </w:r>
    </w:p>
    <w:p w:rsidR="002E06ED" w:rsidRDefault="002E06ED" w:rsidP="00F7397A">
      <w:pPr>
        <w:pStyle w:val="NoSpacing"/>
        <w:ind w:left="720"/>
        <w:rPr>
          <w:rFonts w:ascii="Arial Black" w:hAnsi="Arial Black"/>
          <w:b/>
          <w:sz w:val="24"/>
          <w:szCs w:val="24"/>
        </w:rPr>
      </w:pPr>
      <w:proofErr w:type="gramStart"/>
      <w:r w:rsidRPr="002E06ED">
        <w:rPr>
          <w:rFonts w:ascii="Arial Black" w:hAnsi="Arial Black"/>
          <w:b/>
          <w:sz w:val="24"/>
          <w:szCs w:val="24"/>
        </w:rPr>
        <w:t>meritocracy</w:t>
      </w:r>
      <w:proofErr w:type="gramEnd"/>
      <w:r w:rsidRPr="002E06ED">
        <w:rPr>
          <w:rFonts w:ascii="Arial Black" w:hAnsi="Arial Black"/>
          <w:b/>
          <w:sz w:val="24"/>
          <w:szCs w:val="24"/>
        </w:rPr>
        <w:t xml:space="preserve"> that demands excellence, initiative and courage</w:t>
      </w:r>
    </w:p>
    <w:p w:rsidR="00F7397A" w:rsidRPr="002E06ED" w:rsidRDefault="00F7397A" w:rsidP="00F7397A">
      <w:pPr>
        <w:pStyle w:val="NoSpacing"/>
        <w:ind w:left="720"/>
        <w:rPr>
          <w:rFonts w:ascii="Arial Black" w:hAnsi="Arial Black"/>
          <w:b/>
          <w:sz w:val="24"/>
          <w:szCs w:val="24"/>
        </w:rPr>
      </w:pPr>
    </w:p>
    <w:p w:rsidR="002E06ED" w:rsidRPr="002E06ED" w:rsidRDefault="002E06ED" w:rsidP="00F7397A">
      <w:pPr>
        <w:pStyle w:val="NoSpacing"/>
        <w:ind w:left="720"/>
        <w:rPr>
          <w:rFonts w:ascii="Arial Black" w:hAnsi="Arial Black"/>
          <w:b/>
          <w:bCs/>
          <w:sz w:val="24"/>
          <w:szCs w:val="24"/>
        </w:rPr>
      </w:pPr>
      <w:r w:rsidRPr="002E06ED">
        <w:rPr>
          <w:rFonts w:ascii="Arial Black" w:hAnsi="Arial Black"/>
          <w:b/>
          <w:sz w:val="24"/>
          <w:szCs w:val="24"/>
        </w:rPr>
        <w:t xml:space="preserve"> </w:t>
      </w:r>
      <w:r w:rsidRPr="00F7397A">
        <w:rPr>
          <w:rFonts w:ascii="Arial Black" w:hAnsi="Arial Black"/>
          <w:b/>
          <w:bCs/>
          <w:sz w:val="24"/>
          <w:szCs w:val="24"/>
          <w:u w:val="single"/>
        </w:rPr>
        <w:t>Responsible Finance</w:t>
      </w:r>
      <w:r w:rsidRPr="002E06ED">
        <w:rPr>
          <w:rFonts w:ascii="Arial Black" w:hAnsi="Arial Black"/>
          <w:b/>
          <w:bCs/>
          <w:sz w:val="24"/>
          <w:szCs w:val="24"/>
        </w:rPr>
        <w:t>:</w:t>
      </w:r>
    </w:p>
    <w:p w:rsidR="002E06ED" w:rsidRPr="002E06ED" w:rsidRDefault="002E06ED" w:rsidP="00F7397A">
      <w:pPr>
        <w:pStyle w:val="NoSpacing"/>
        <w:ind w:left="720"/>
        <w:rPr>
          <w:rFonts w:ascii="Arial Black" w:hAnsi="Arial Black"/>
          <w:b/>
          <w:sz w:val="24"/>
          <w:szCs w:val="24"/>
        </w:rPr>
      </w:pPr>
      <w:r w:rsidRPr="002E06ED">
        <w:rPr>
          <w:rFonts w:ascii="Arial Black" w:hAnsi="Arial Black"/>
          <w:b/>
          <w:sz w:val="24"/>
          <w:szCs w:val="24"/>
        </w:rPr>
        <w:t>- Understands and proactively manages risk and compliance in respective area of</w:t>
      </w:r>
    </w:p>
    <w:p w:rsidR="002E06ED" w:rsidRPr="002E06ED" w:rsidRDefault="002E06ED" w:rsidP="00F7397A">
      <w:pPr>
        <w:pStyle w:val="NoSpacing"/>
        <w:ind w:left="720"/>
        <w:rPr>
          <w:rFonts w:ascii="Arial Black" w:hAnsi="Arial Black"/>
          <w:b/>
          <w:sz w:val="24"/>
          <w:szCs w:val="24"/>
        </w:rPr>
      </w:pPr>
      <w:proofErr w:type="gramStart"/>
      <w:r w:rsidRPr="002E06ED">
        <w:rPr>
          <w:rFonts w:ascii="Arial Black" w:hAnsi="Arial Black"/>
          <w:b/>
          <w:sz w:val="24"/>
          <w:szCs w:val="24"/>
        </w:rPr>
        <w:t>responsibility</w:t>
      </w:r>
      <w:proofErr w:type="gramEnd"/>
      <w:r w:rsidRPr="002E06ED">
        <w:rPr>
          <w:rFonts w:ascii="Arial Black" w:hAnsi="Arial Black"/>
          <w:b/>
          <w:sz w:val="24"/>
          <w:szCs w:val="24"/>
        </w:rPr>
        <w:t>.</w:t>
      </w:r>
    </w:p>
    <w:p w:rsidR="002E06ED" w:rsidRPr="002E06ED" w:rsidRDefault="002E06ED" w:rsidP="00F7397A">
      <w:pPr>
        <w:pStyle w:val="NoSpacing"/>
        <w:ind w:left="720"/>
        <w:rPr>
          <w:rFonts w:ascii="Arial Black" w:hAnsi="Arial Black"/>
          <w:b/>
          <w:sz w:val="24"/>
          <w:szCs w:val="24"/>
        </w:rPr>
      </w:pPr>
      <w:r w:rsidRPr="002E06ED">
        <w:rPr>
          <w:rFonts w:ascii="Arial Black" w:hAnsi="Arial Black"/>
          <w:b/>
          <w:sz w:val="24"/>
          <w:szCs w:val="24"/>
        </w:rPr>
        <w:t>- Appropriately assesses risk/reward relationships when making business decisions.</w:t>
      </w:r>
    </w:p>
    <w:p w:rsidR="002E06ED" w:rsidRPr="002E06ED" w:rsidRDefault="002E06ED" w:rsidP="00F7397A">
      <w:pPr>
        <w:pStyle w:val="NoSpacing"/>
        <w:ind w:left="720"/>
        <w:rPr>
          <w:rFonts w:ascii="Arial Black" w:hAnsi="Arial Black"/>
          <w:b/>
          <w:sz w:val="24"/>
          <w:szCs w:val="24"/>
        </w:rPr>
      </w:pPr>
      <w:r w:rsidRPr="002E06ED">
        <w:rPr>
          <w:rFonts w:ascii="Arial Black" w:hAnsi="Arial Black"/>
          <w:b/>
          <w:sz w:val="24"/>
          <w:szCs w:val="24"/>
        </w:rPr>
        <w:t>- Identifies risk inherent in particular situations or transactions and its impact on</w:t>
      </w:r>
    </w:p>
    <w:p w:rsidR="002E06ED" w:rsidRPr="002E06ED" w:rsidRDefault="002E06ED" w:rsidP="00F7397A">
      <w:pPr>
        <w:pStyle w:val="NoSpacing"/>
        <w:ind w:left="720"/>
        <w:rPr>
          <w:rFonts w:ascii="Arial Black" w:hAnsi="Arial Black"/>
          <w:b/>
          <w:sz w:val="24"/>
          <w:szCs w:val="24"/>
        </w:rPr>
      </w:pPr>
      <w:proofErr w:type="gramStart"/>
      <w:r w:rsidRPr="002E06ED">
        <w:rPr>
          <w:rFonts w:ascii="Arial Black" w:hAnsi="Arial Black"/>
          <w:b/>
          <w:sz w:val="24"/>
          <w:szCs w:val="24"/>
        </w:rPr>
        <w:t>other</w:t>
      </w:r>
      <w:proofErr w:type="gramEnd"/>
      <w:r w:rsidRPr="002E06ED">
        <w:rPr>
          <w:rFonts w:ascii="Arial Black" w:hAnsi="Arial Black"/>
          <w:b/>
          <w:sz w:val="24"/>
          <w:szCs w:val="24"/>
        </w:rPr>
        <w:t xml:space="preserve"> areas of Citi/Citi as a whole.</w:t>
      </w:r>
    </w:p>
    <w:p w:rsidR="002E06ED" w:rsidRPr="002E06ED" w:rsidRDefault="002E06ED" w:rsidP="00F7397A">
      <w:pPr>
        <w:pStyle w:val="NoSpacing"/>
        <w:ind w:left="720"/>
        <w:rPr>
          <w:rFonts w:ascii="Arial Black" w:hAnsi="Arial Black"/>
          <w:b/>
          <w:sz w:val="24"/>
          <w:szCs w:val="24"/>
        </w:rPr>
      </w:pPr>
      <w:r w:rsidRPr="002E06ED">
        <w:rPr>
          <w:rFonts w:ascii="Arial Black" w:hAnsi="Arial Black"/>
          <w:b/>
          <w:sz w:val="24"/>
          <w:szCs w:val="24"/>
        </w:rPr>
        <w:t>- Ensures that issues are resolved with urgency and escalates them in a timely</w:t>
      </w:r>
    </w:p>
    <w:p w:rsidR="002E06ED" w:rsidRPr="002E06ED" w:rsidRDefault="002E06ED" w:rsidP="00F7397A">
      <w:pPr>
        <w:pStyle w:val="NoSpacing"/>
        <w:ind w:left="720"/>
        <w:rPr>
          <w:rFonts w:ascii="Arial Black" w:hAnsi="Arial Black"/>
          <w:b/>
          <w:sz w:val="24"/>
          <w:szCs w:val="24"/>
        </w:rPr>
      </w:pPr>
      <w:proofErr w:type="gramStart"/>
      <w:r w:rsidRPr="002E06ED">
        <w:rPr>
          <w:rFonts w:ascii="Arial Black" w:hAnsi="Arial Black"/>
          <w:b/>
          <w:sz w:val="24"/>
          <w:szCs w:val="24"/>
        </w:rPr>
        <w:t>manner</w:t>
      </w:r>
      <w:proofErr w:type="gramEnd"/>
      <w:r w:rsidRPr="002E06ED">
        <w:rPr>
          <w:rFonts w:ascii="Arial Black" w:hAnsi="Arial Black"/>
          <w:b/>
          <w:sz w:val="24"/>
          <w:szCs w:val="24"/>
        </w:rPr>
        <w:t>.</w:t>
      </w:r>
    </w:p>
    <w:p w:rsidR="002E06ED" w:rsidRPr="002E06ED" w:rsidRDefault="002E06ED" w:rsidP="00F7397A">
      <w:pPr>
        <w:pStyle w:val="NoSpacing"/>
        <w:ind w:left="720"/>
        <w:rPr>
          <w:rFonts w:ascii="Arial Black" w:hAnsi="Arial Black"/>
          <w:b/>
          <w:sz w:val="24"/>
          <w:szCs w:val="24"/>
        </w:rPr>
      </w:pPr>
      <w:r w:rsidRPr="002E06ED">
        <w:rPr>
          <w:rFonts w:ascii="Arial Black" w:hAnsi="Arial Black"/>
          <w:b/>
          <w:sz w:val="24"/>
          <w:szCs w:val="24"/>
        </w:rPr>
        <w:t>- Adheres to corporate and business specific policies and considers appropriate</w:t>
      </w:r>
    </w:p>
    <w:p w:rsidR="002E06ED" w:rsidRPr="002E06ED" w:rsidRDefault="002E06ED" w:rsidP="00F7397A">
      <w:pPr>
        <w:pStyle w:val="NoSpacing"/>
        <w:ind w:left="720"/>
        <w:rPr>
          <w:rFonts w:ascii="Arial Black" w:hAnsi="Arial Black"/>
          <w:b/>
          <w:sz w:val="24"/>
          <w:szCs w:val="24"/>
        </w:rPr>
      </w:pPr>
      <w:proofErr w:type="gramStart"/>
      <w:r w:rsidRPr="002E06ED">
        <w:rPr>
          <w:rFonts w:ascii="Arial Black" w:hAnsi="Arial Black"/>
          <w:b/>
          <w:sz w:val="24"/>
          <w:szCs w:val="24"/>
        </w:rPr>
        <w:t>controls</w:t>
      </w:r>
      <w:proofErr w:type="gramEnd"/>
      <w:r w:rsidRPr="002E06ED">
        <w:rPr>
          <w:rFonts w:ascii="Arial Black" w:hAnsi="Arial Black"/>
          <w:b/>
          <w:sz w:val="24"/>
          <w:szCs w:val="24"/>
        </w:rPr>
        <w:t xml:space="preserve"> as part of day-to-day responsibilities. (e.g., anti-money laundering)</w:t>
      </w:r>
    </w:p>
    <w:p w:rsidR="002E06ED" w:rsidRPr="002E06ED" w:rsidRDefault="002E06ED" w:rsidP="00F7397A">
      <w:pPr>
        <w:pStyle w:val="NoSpacing"/>
        <w:ind w:left="720"/>
        <w:rPr>
          <w:rFonts w:ascii="Arial Black" w:hAnsi="Arial Black"/>
          <w:b/>
          <w:sz w:val="24"/>
          <w:szCs w:val="24"/>
        </w:rPr>
      </w:pPr>
      <w:r w:rsidRPr="002E06ED">
        <w:rPr>
          <w:rFonts w:ascii="Arial Black" w:hAnsi="Arial Black"/>
          <w:b/>
          <w:sz w:val="24"/>
          <w:szCs w:val="24"/>
        </w:rPr>
        <w:t>- Contributes to a ‘no surprises’ compliance culture by ensuring transparency and</w:t>
      </w:r>
      <w:r>
        <w:rPr>
          <w:rFonts w:ascii="Arial Black" w:hAnsi="Arial Black"/>
          <w:b/>
          <w:sz w:val="24"/>
          <w:szCs w:val="24"/>
        </w:rPr>
        <w:t xml:space="preserve"> </w:t>
      </w:r>
      <w:r w:rsidRPr="002E06ED">
        <w:rPr>
          <w:rFonts w:ascii="Arial Black" w:hAnsi="Arial Black"/>
          <w:b/>
          <w:sz w:val="24"/>
          <w:szCs w:val="24"/>
        </w:rPr>
        <w:t>candour in managing control issues.</w:t>
      </w:r>
    </w:p>
    <w:p w:rsidR="002E06ED" w:rsidRDefault="002E06ED" w:rsidP="00F7397A">
      <w:pPr>
        <w:pStyle w:val="NoSpacing"/>
        <w:ind w:left="720"/>
        <w:rPr>
          <w:rFonts w:ascii="Arial Black" w:hAnsi="Arial Black"/>
          <w:b/>
          <w:sz w:val="24"/>
          <w:szCs w:val="24"/>
        </w:rPr>
      </w:pPr>
      <w:r w:rsidRPr="002E06ED">
        <w:rPr>
          <w:rFonts w:ascii="Arial Black" w:hAnsi="Arial Black"/>
          <w:b/>
          <w:sz w:val="24"/>
          <w:szCs w:val="24"/>
        </w:rPr>
        <w:t>- Is transparent and open in communications.</w:t>
      </w:r>
    </w:p>
    <w:p w:rsidR="002E06ED" w:rsidRDefault="002E06ED" w:rsidP="00F7397A">
      <w:pPr>
        <w:pStyle w:val="NoSpacing"/>
        <w:ind w:left="720"/>
        <w:rPr>
          <w:rFonts w:ascii="Arial Black" w:hAnsi="Arial Black"/>
          <w:b/>
          <w:sz w:val="24"/>
          <w:szCs w:val="24"/>
        </w:rPr>
      </w:pPr>
    </w:p>
    <w:p w:rsidR="002E06ED" w:rsidRDefault="001D6937" w:rsidP="002E06ED">
      <w:pPr>
        <w:pStyle w:val="NoSpacing"/>
        <w:rPr>
          <w:rFonts w:ascii="Arial Black" w:hAnsi="Arial Black"/>
          <w:b/>
          <w:sz w:val="24"/>
          <w:szCs w:val="24"/>
        </w:rPr>
      </w:pPr>
      <w:bookmarkStart w:id="0" w:name="_GoBack"/>
      <w:bookmarkEnd w:id="0"/>
      <w:r>
        <w:rPr>
          <w:rFonts w:ascii="Arial Black" w:hAnsi="Arial Black"/>
          <w:b/>
          <w:sz w:val="24"/>
          <w:szCs w:val="24"/>
        </w:rPr>
        <w:t xml:space="preserve">In conclusion, </w:t>
      </w:r>
      <w:r w:rsidR="00365DD9">
        <w:rPr>
          <w:rFonts w:ascii="Arial Black" w:hAnsi="Arial Black"/>
          <w:b/>
          <w:sz w:val="24"/>
          <w:szCs w:val="24"/>
        </w:rPr>
        <w:t>Citibank</w:t>
      </w:r>
      <w:r w:rsidR="002E70E9">
        <w:rPr>
          <w:rFonts w:ascii="Arial Black" w:hAnsi="Arial Black"/>
          <w:b/>
          <w:sz w:val="24"/>
          <w:szCs w:val="24"/>
        </w:rPr>
        <w:t>,</w:t>
      </w:r>
      <w:r w:rsidR="00365DD9">
        <w:rPr>
          <w:rFonts w:ascii="Arial Black" w:hAnsi="Arial Black"/>
          <w:b/>
          <w:sz w:val="24"/>
          <w:szCs w:val="24"/>
        </w:rPr>
        <w:t xml:space="preserve"> N.A. South Africa branch is</w:t>
      </w:r>
      <w:r w:rsidR="002E70E9">
        <w:rPr>
          <w:rFonts w:ascii="Arial Black" w:hAnsi="Arial Black"/>
          <w:b/>
          <w:sz w:val="24"/>
          <w:szCs w:val="24"/>
        </w:rPr>
        <w:t xml:space="preserve"> therefore</w:t>
      </w:r>
      <w:r w:rsidR="00365DD9">
        <w:rPr>
          <w:rFonts w:ascii="Arial Black" w:hAnsi="Arial Black"/>
          <w:b/>
          <w:sz w:val="24"/>
          <w:szCs w:val="24"/>
        </w:rPr>
        <w:t xml:space="preserve"> of the opinion that the aforementioned information provides sufficient public disclosure on the capital adequacy position, main business activities and the risk profile of the branch. Further information on product offerings by the South Africa franchise may be obtained by visiting </w:t>
      </w:r>
      <w:hyperlink r:id="rId9" w:history="1">
        <w:r w:rsidR="00F7397A" w:rsidRPr="0060137E">
          <w:rPr>
            <w:rStyle w:val="Hyperlink"/>
            <w:rFonts w:ascii="Arial Black" w:hAnsi="Arial Black"/>
            <w:b/>
            <w:sz w:val="24"/>
            <w:szCs w:val="24"/>
          </w:rPr>
          <w:t>http://www.citi.com/southafrica/homepage/index.htm</w:t>
        </w:r>
      </w:hyperlink>
    </w:p>
    <w:p w:rsidR="00F7397A" w:rsidRDefault="00F7397A" w:rsidP="002E06ED">
      <w:pPr>
        <w:pStyle w:val="NoSpacing"/>
        <w:rPr>
          <w:rFonts w:ascii="Arial Black" w:hAnsi="Arial Black"/>
          <w:b/>
          <w:sz w:val="24"/>
          <w:szCs w:val="24"/>
        </w:rPr>
      </w:pPr>
    </w:p>
    <w:p w:rsidR="002E70E9" w:rsidRDefault="001D6937" w:rsidP="002E06ED">
      <w:pPr>
        <w:pStyle w:val="NoSpacing"/>
        <w:rPr>
          <w:rFonts w:ascii="Arial Black" w:hAnsi="Arial Black"/>
          <w:b/>
          <w:sz w:val="24"/>
          <w:szCs w:val="24"/>
        </w:rPr>
      </w:pPr>
      <w:r>
        <w:rPr>
          <w:rFonts w:ascii="Arial Black" w:hAnsi="Arial Black"/>
          <w:b/>
          <w:sz w:val="24"/>
          <w:szCs w:val="24"/>
        </w:rPr>
        <w:t>Members of the public requiring</w:t>
      </w:r>
      <w:r w:rsidR="002E70E9">
        <w:rPr>
          <w:rFonts w:ascii="Arial Black" w:hAnsi="Arial Black"/>
          <w:b/>
          <w:sz w:val="24"/>
          <w:szCs w:val="24"/>
        </w:rPr>
        <w:t xml:space="preserve"> </w:t>
      </w:r>
      <w:r>
        <w:rPr>
          <w:rFonts w:ascii="Arial Black" w:hAnsi="Arial Black"/>
          <w:b/>
          <w:sz w:val="24"/>
          <w:szCs w:val="24"/>
        </w:rPr>
        <w:t xml:space="preserve">any </w:t>
      </w:r>
      <w:r w:rsidR="002E70E9">
        <w:rPr>
          <w:rFonts w:ascii="Arial Black" w:hAnsi="Arial Black"/>
          <w:b/>
          <w:sz w:val="24"/>
          <w:szCs w:val="24"/>
        </w:rPr>
        <w:t>further information</w:t>
      </w:r>
      <w:r w:rsidR="00D24B2B">
        <w:rPr>
          <w:rFonts w:ascii="Arial Black" w:hAnsi="Arial Black"/>
          <w:b/>
          <w:sz w:val="24"/>
          <w:szCs w:val="24"/>
        </w:rPr>
        <w:t xml:space="preserve"> pertaining to our public disclosure obligations</w:t>
      </w:r>
      <w:r w:rsidR="002E70E9">
        <w:rPr>
          <w:rFonts w:ascii="Arial Black" w:hAnsi="Arial Black"/>
          <w:b/>
          <w:sz w:val="24"/>
          <w:szCs w:val="24"/>
        </w:rPr>
        <w:t xml:space="preserve"> </w:t>
      </w:r>
      <w:r>
        <w:rPr>
          <w:rFonts w:ascii="Arial Black" w:hAnsi="Arial Black"/>
          <w:b/>
          <w:sz w:val="24"/>
          <w:szCs w:val="24"/>
        </w:rPr>
        <w:t>may contact our</w:t>
      </w:r>
      <w:r w:rsidR="002E70E9">
        <w:rPr>
          <w:rFonts w:ascii="Arial Black" w:hAnsi="Arial Black"/>
          <w:b/>
          <w:sz w:val="24"/>
          <w:szCs w:val="24"/>
        </w:rPr>
        <w:t xml:space="preserve"> </w:t>
      </w:r>
      <w:r>
        <w:rPr>
          <w:rFonts w:ascii="Arial Black" w:hAnsi="Arial Black"/>
          <w:b/>
          <w:sz w:val="24"/>
          <w:szCs w:val="24"/>
        </w:rPr>
        <w:t>Media Relations in South Africa</w:t>
      </w:r>
      <w:r w:rsidR="002E70E9">
        <w:rPr>
          <w:rFonts w:ascii="Arial Black" w:hAnsi="Arial Black"/>
          <w:b/>
          <w:sz w:val="24"/>
          <w:szCs w:val="24"/>
        </w:rPr>
        <w:t>.</w:t>
      </w:r>
    </w:p>
    <w:p w:rsidR="002E70E9" w:rsidRDefault="002E70E9" w:rsidP="002E06ED">
      <w:pPr>
        <w:pStyle w:val="NoSpacing"/>
        <w:rPr>
          <w:rFonts w:ascii="Arial Black" w:hAnsi="Arial Black"/>
          <w:b/>
          <w:sz w:val="24"/>
          <w:szCs w:val="24"/>
        </w:rPr>
      </w:pPr>
    </w:p>
    <w:p w:rsidR="00F7397A" w:rsidRDefault="002E70E9" w:rsidP="002E06ED">
      <w:pPr>
        <w:pStyle w:val="NoSpacing"/>
        <w:rPr>
          <w:rFonts w:ascii="Arial Black" w:hAnsi="Arial Black"/>
          <w:b/>
          <w:sz w:val="24"/>
          <w:szCs w:val="24"/>
        </w:rPr>
      </w:pPr>
      <w:r>
        <w:rPr>
          <w:rFonts w:ascii="Arial Black" w:hAnsi="Arial Black"/>
          <w:b/>
          <w:sz w:val="24"/>
          <w:szCs w:val="24"/>
        </w:rPr>
        <w:t>Citi</w:t>
      </w:r>
      <w:r w:rsidR="001D6937">
        <w:rPr>
          <w:rFonts w:ascii="Arial Black" w:hAnsi="Arial Black"/>
          <w:b/>
          <w:sz w:val="24"/>
          <w:szCs w:val="24"/>
        </w:rPr>
        <w:t xml:space="preserve">’s </w:t>
      </w:r>
      <w:r>
        <w:rPr>
          <w:rFonts w:ascii="Arial Black" w:hAnsi="Arial Black"/>
          <w:b/>
          <w:sz w:val="24"/>
          <w:szCs w:val="24"/>
        </w:rPr>
        <w:t xml:space="preserve">homepage also provides a comprehensive overview of </w:t>
      </w:r>
      <w:r w:rsidR="001D6937">
        <w:rPr>
          <w:rFonts w:ascii="Arial Black" w:hAnsi="Arial Black"/>
          <w:b/>
          <w:sz w:val="24"/>
          <w:szCs w:val="24"/>
        </w:rPr>
        <w:t xml:space="preserve">the </w:t>
      </w:r>
      <w:r>
        <w:rPr>
          <w:rFonts w:ascii="Arial Black" w:hAnsi="Arial Black"/>
          <w:b/>
          <w:sz w:val="24"/>
          <w:szCs w:val="24"/>
        </w:rPr>
        <w:t>group</w:t>
      </w:r>
      <w:r w:rsidR="001D6937">
        <w:rPr>
          <w:rFonts w:ascii="Arial Black" w:hAnsi="Arial Black"/>
          <w:b/>
          <w:sz w:val="24"/>
          <w:szCs w:val="24"/>
        </w:rPr>
        <w:t>’s global activities</w:t>
      </w:r>
      <w:r>
        <w:rPr>
          <w:rFonts w:ascii="Arial Black" w:hAnsi="Arial Black"/>
          <w:b/>
          <w:sz w:val="24"/>
          <w:szCs w:val="24"/>
        </w:rPr>
        <w:t xml:space="preserve"> </w:t>
      </w:r>
      <w:hyperlink r:id="rId10" w:history="1">
        <w:r w:rsidR="001D6937" w:rsidRPr="006D4359">
          <w:rPr>
            <w:rStyle w:val="Hyperlink"/>
            <w:rFonts w:ascii="Arial Black" w:hAnsi="Arial Black"/>
            <w:b/>
            <w:sz w:val="24"/>
            <w:szCs w:val="24"/>
          </w:rPr>
          <w:t>www.citigroup.com</w:t>
        </w:r>
      </w:hyperlink>
    </w:p>
    <w:p w:rsidR="002E70E9" w:rsidRDefault="002E70E9" w:rsidP="002E06ED">
      <w:pPr>
        <w:pStyle w:val="NoSpacing"/>
        <w:rPr>
          <w:rFonts w:ascii="Arial Black" w:hAnsi="Arial Black"/>
          <w:b/>
          <w:sz w:val="24"/>
          <w:szCs w:val="24"/>
        </w:rPr>
      </w:pPr>
    </w:p>
    <w:p w:rsidR="00F7397A" w:rsidRPr="002E06ED" w:rsidRDefault="00F7397A" w:rsidP="002E06ED">
      <w:pPr>
        <w:pStyle w:val="NoSpacing"/>
        <w:rPr>
          <w:rFonts w:ascii="Arial Black" w:hAnsi="Arial Black"/>
          <w:b/>
          <w:sz w:val="24"/>
          <w:szCs w:val="24"/>
        </w:rPr>
      </w:pPr>
    </w:p>
    <w:p w:rsidR="0003505B" w:rsidRPr="0003505B" w:rsidRDefault="0003505B" w:rsidP="00DA1B73">
      <w:pPr>
        <w:pStyle w:val="NoSpacing"/>
        <w:rPr>
          <w:rFonts w:ascii="Arial Black" w:hAnsi="Arial Black"/>
          <w:b/>
          <w:sz w:val="24"/>
          <w:szCs w:val="24"/>
        </w:rPr>
      </w:pPr>
    </w:p>
    <w:sectPr w:rsidR="0003505B" w:rsidRPr="000350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844EE"/>
    <w:multiLevelType w:val="hybridMultilevel"/>
    <w:tmpl w:val="9586BF8A"/>
    <w:lvl w:ilvl="0" w:tplc="8BA6D9A8">
      <w:start w:val="6"/>
      <w:numFmt w:val="upp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3FDF11A5"/>
    <w:multiLevelType w:val="hybridMultilevel"/>
    <w:tmpl w:val="23A28364"/>
    <w:lvl w:ilvl="0" w:tplc="1C090013">
      <w:start w:val="1"/>
      <w:numFmt w:val="upperRoman"/>
      <w:lvlText w:val="%1."/>
      <w:lvlJc w:val="right"/>
      <w:pPr>
        <w:ind w:left="795" w:hanging="360"/>
      </w:p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2">
    <w:nsid w:val="70D31444"/>
    <w:multiLevelType w:val="hybridMultilevel"/>
    <w:tmpl w:val="6DA84B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813"/>
    <w:rsid w:val="0003505B"/>
    <w:rsid w:val="000E4DC4"/>
    <w:rsid w:val="000F0BDA"/>
    <w:rsid w:val="00110C56"/>
    <w:rsid w:val="0013007C"/>
    <w:rsid w:val="00197EBE"/>
    <w:rsid w:val="001D38ED"/>
    <w:rsid w:val="001D6937"/>
    <w:rsid w:val="002065E9"/>
    <w:rsid w:val="00213B7B"/>
    <w:rsid w:val="00216F23"/>
    <w:rsid w:val="00227AD5"/>
    <w:rsid w:val="00253726"/>
    <w:rsid w:val="002B67C2"/>
    <w:rsid w:val="002C434F"/>
    <w:rsid w:val="002E06ED"/>
    <w:rsid w:val="002E70E9"/>
    <w:rsid w:val="00365DD9"/>
    <w:rsid w:val="003C74BB"/>
    <w:rsid w:val="004D1B6D"/>
    <w:rsid w:val="005A1538"/>
    <w:rsid w:val="005B6A91"/>
    <w:rsid w:val="00651949"/>
    <w:rsid w:val="006800B1"/>
    <w:rsid w:val="00695FE9"/>
    <w:rsid w:val="00721EFC"/>
    <w:rsid w:val="007361EE"/>
    <w:rsid w:val="00801D73"/>
    <w:rsid w:val="00841A3C"/>
    <w:rsid w:val="008822BB"/>
    <w:rsid w:val="008A1385"/>
    <w:rsid w:val="0094033D"/>
    <w:rsid w:val="00971DEF"/>
    <w:rsid w:val="0097353E"/>
    <w:rsid w:val="009C0C1D"/>
    <w:rsid w:val="00A44EE1"/>
    <w:rsid w:val="00AE004C"/>
    <w:rsid w:val="00AF5A1B"/>
    <w:rsid w:val="00B03206"/>
    <w:rsid w:val="00B31813"/>
    <w:rsid w:val="00B31B67"/>
    <w:rsid w:val="00B66B44"/>
    <w:rsid w:val="00B81793"/>
    <w:rsid w:val="00BB314E"/>
    <w:rsid w:val="00BD038B"/>
    <w:rsid w:val="00C278D9"/>
    <w:rsid w:val="00CA4040"/>
    <w:rsid w:val="00CB2A89"/>
    <w:rsid w:val="00CE24C3"/>
    <w:rsid w:val="00CE7C8D"/>
    <w:rsid w:val="00D00FAF"/>
    <w:rsid w:val="00D21E82"/>
    <w:rsid w:val="00D24B2B"/>
    <w:rsid w:val="00DA1B73"/>
    <w:rsid w:val="00DD00EF"/>
    <w:rsid w:val="00E05047"/>
    <w:rsid w:val="00E527C3"/>
    <w:rsid w:val="00EA718E"/>
    <w:rsid w:val="00ED128E"/>
    <w:rsid w:val="00ED37AB"/>
    <w:rsid w:val="00EF0B06"/>
    <w:rsid w:val="00F63FA1"/>
    <w:rsid w:val="00F7397A"/>
    <w:rsid w:val="00F8102A"/>
    <w:rsid w:val="00F82AC3"/>
    <w:rsid w:val="00FC59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13"/>
    <w:pPr>
      <w:spacing w:after="0" w:line="240" w:lineRule="auto"/>
    </w:pPr>
  </w:style>
  <w:style w:type="table" w:styleId="TableGrid">
    <w:name w:val="Table Grid"/>
    <w:basedOn w:val="TableNormal"/>
    <w:uiPriority w:val="59"/>
    <w:rsid w:val="00CE7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5DD9"/>
    <w:rPr>
      <w:color w:val="0000FF" w:themeColor="hyperlink"/>
      <w:u w:val="single"/>
    </w:rPr>
  </w:style>
  <w:style w:type="paragraph" w:styleId="BalloonText">
    <w:name w:val="Balloon Text"/>
    <w:basedOn w:val="Normal"/>
    <w:link w:val="BalloonTextChar"/>
    <w:uiPriority w:val="99"/>
    <w:semiHidden/>
    <w:unhideWhenUsed/>
    <w:rsid w:val="004D1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13"/>
    <w:pPr>
      <w:spacing w:after="0" w:line="240" w:lineRule="auto"/>
    </w:pPr>
  </w:style>
  <w:style w:type="table" w:styleId="TableGrid">
    <w:name w:val="Table Grid"/>
    <w:basedOn w:val="TableNormal"/>
    <w:uiPriority w:val="59"/>
    <w:rsid w:val="00CE7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5DD9"/>
    <w:rPr>
      <w:color w:val="0000FF" w:themeColor="hyperlink"/>
      <w:u w:val="single"/>
    </w:rPr>
  </w:style>
  <w:style w:type="paragraph" w:styleId="BalloonText">
    <w:name w:val="Balloon Text"/>
    <w:basedOn w:val="Normal"/>
    <w:link w:val="BalloonTextChar"/>
    <w:uiPriority w:val="99"/>
    <w:semiHidden/>
    <w:unhideWhenUsed/>
    <w:rsid w:val="004D1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7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bank.co.za" TargetMode="External"/><Relationship Id="rId3" Type="http://schemas.openxmlformats.org/officeDocument/2006/relationships/styles" Target="styles.xml"/><Relationship Id="rId7" Type="http://schemas.openxmlformats.org/officeDocument/2006/relationships/hyperlink" Target="http://www.citigroup.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itigroup.com" TargetMode="External"/><Relationship Id="rId4" Type="http://schemas.microsoft.com/office/2007/relationships/stylesWithEffects" Target="stylesWithEffects.xml"/><Relationship Id="rId9" Type="http://schemas.openxmlformats.org/officeDocument/2006/relationships/hyperlink" Target="http://www.citi.com/southafrica/homepag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26ABE-BAF4-4CC8-9FA2-21101879E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2828</Words>
  <Characters>16126</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Citigroup</Company>
  <LinksUpToDate>false</LinksUpToDate>
  <CharactersWithSpaces>18917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Nolte, Clifford [ICG]</dc:creator>
  <cp:lastModifiedBy>Nolte, Clifford [ICG]</cp:lastModifiedBy>
  <cp:revision>2</cp:revision>
  <dcterms:created xsi:type="dcterms:W3CDTF">2015-04-08T10:38:00Z</dcterms:created>
  <dcterms:modified xsi:type="dcterms:W3CDTF">2015-04-08T10:38:00Z</dcterms:modified>
</cp:coreProperties>
</file>